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1499" w14:textId="77777777" w:rsidR="00DE331C" w:rsidRDefault="002F609E">
      <w:pPr>
        <w:pStyle w:val="Title"/>
        <w:spacing w:line="360" w:lineRule="auto"/>
        <w:jc w:val="left"/>
        <w:rPr>
          <w:b w:val="0"/>
          <w:bCs w:val="0"/>
          <w:sz w:val="36"/>
          <w:szCs w:val="36"/>
        </w:rPr>
      </w:pPr>
      <w:r>
        <w:rPr>
          <w:b w:val="0"/>
          <w:bCs w:val="0"/>
          <w:sz w:val="36"/>
          <w:szCs w:val="36"/>
        </w:rPr>
        <w:t>“Entre carriles invisibles y brazadas táctiles: El deporte como expresión del derecho a la integración y la igualdad’’</w:t>
      </w:r>
    </w:p>
    <w:p w14:paraId="317F149A" w14:textId="77777777" w:rsidR="00DE331C" w:rsidRDefault="00DE331C">
      <w:pPr>
        <w:spacing w:line="360" w:lineRule="auto"/>
        <w:ind w:left="63" w:right="75"/>
        <w:rPr>
          <w:sz w:val="24"/>
          <w:szCs w:val="24"/>
        </w:rPr>
      </w:pPr>
    </w:p>
    <w:p w14:paraId="317F149B" w14:textId="77777777" w:rsidR="00DE331C" w:rsidRDefault="002F609E">
      <w:pPr>
        <w:spacing w:line="360" w:lineRule="auto"/>
        <w:ind w:left="63" w:right="75"/>
        <w:rPr>
          <w:sz w:val="24"/>
          <w:szCs w:val="24"/>
        </w:rPr>
      </w:pPr>
      <w:r>
        <w:rPr>
          <w:sz w:val="24"/>
          <w:szCs w:val="24"/>
        </w:rPr>
        <w:t>Sense Internacional Perú</w:t>
      </w:r>
    </w:p>
    <w:p w14:paraId="317F149C" w14:textId="77777777" w:rsidR="00DE331C" w:rsidRDefault="00DE331C">
      <w:pPr>
        <w:pBdr>
          <w:top w:val="nil"/>
          <w:left w:val="nil"/>
          <w:bottom w:val="nil"/>
          <w:right w:val="nil"/>
          <w:between w:val="nil"/>
        </w:pBdr>
        <w:spacing w:before="25" w:line="360" w:lineRule="auto"/>
        <w:rPr>
          <w:color w:val="000000"/>
          <w:sz w:val="24"/>
          <w:szCs w:val="24"/>
        </w:rPr>
      </w:pPr>
    </w:p>
    <w:p w14:paraId="317F149D" w14:textId="77777777" w:rsidR="00DE331C" w:rsidRDefault="002F609E">
      <w:pPr>
        <w:pStyle w:val="Heading1"/>
        <w:spacing w:before="1" w:line="360" w:lineRule="auto"/>
        <w:ind w:firstLine="63"/>
        <w:jc w:val="left"/>
        <w:rPr>
          <w:b w:val="0"/>
          <w:bCs w:val="0"/>
          <w:sz w:val="24"/>
          <w:szCs w:val="24"/>
        </w:rPr>
      </w:pPr>
      <w:r>
        <w:rPr>
          <w:b w:val="0"/>
          <w:bCs w:val="0"/>
          <w:sz w:val="24"/>
          <w:szCs w:val="24"/>
        </w:rPr>
        <w:t>SEGUNDO CONCURSO DE ENSAYOS EN SORDOCEGUERA</w:t>
      </w:r>
    </w:p>
    <w:p w14:paraId="317F149E" w14:textId="77777777" w:rsidR="00DE331C" w:rsidRDefault="00DE331C">
      <w:pPr>
        <w:pBdr>
          <w:top w:val="nil"/>
          <w:left w:val="nil"/>
          <w:bottom w:val="nil"/>
          <w:right w:val="nil"/>
          <w:between w:val="nil"/>
        </w:pBdr>
        <w:spacing w:before="24" w:line="360" w:lineRule="auto"/>
        <w:rPr>
          <w:color w:val="000000"/>
          <w:sz w:val="24"/>
          <w:szCs w:val="24"/>
        </w:rPr>
      </w:pPr>
    </w:p>
    <w:p w14:paraId="317F149F" w14:textId="77777777" w:rsidR="00DE331C" w:rsidRDefault="002F609E">
      <w:pPr>
        <w:spacing w:before="1" w:line="360" w:lineRule="auto"/>
        <w:ind w:left="63" w:right="75"/>
        <w:rPr>
          <w:sz w:val="24"/>
          <w:szCs w:val="24"/>
        </w:rPr>
      </w:pPr>
      <w:r>
        <w:rPr>
          <w:sz w:val="24"/>
          <w:szCs w:val="24"/>
        </w:rPr>
        <w:t>Autor: Diego Ochoa Orellana</w:t>
      </w:r>
    </w:p>
    <w:p w14:paraId="317F14A0" w14:textId="77777777" w:rsidR="00DE331C" w:rsidRDefault="002F609E">
      <w:pPr>
        <w:spacing w:before="56" w:line="360" w:lineRule="auto"/>
        <w:ind w:left="63" w:right="75"/>
        <w:rPr>
          <w:sz w:val="24"/>
          <w:szCs w:val="24"/>
        </w:rPr>
      </w:pPr>
      <w:r>
        <w:rPr>
          <w:sz w:val="24"/>
          <w:szCs w:val="24"/>
        </w:rPr>
        <w:t>Carrera de pregrado: Derecho</w:t>
      </w:r>
    </w:p>
    <w:p w14:paraId="317F14A1" w14:textId="77777777" w:rsidR="00DE331C" w:rsidRDefault="00DE331C">
      <w:pPr>
        <w:pBdr>
          <w:top w:val="nil"/>
          <w:left w:val="nil"/>
          <w:bottom w:val="nil"/>
          <w:right w:val="nil"/>
          <w:between w:val="nil"/>
        </w:pBdr>
        <w:spacing w:before="6" w:line="360" w:lineRule="auto"/>
        <w:rPr>
          <w:color w:val="000000"/>
          <w:sz w:val="24"/>
          <w:szCs w:val="24"/>
        </w:rPr>
      </w:pPr>
    </w:p>
    <w:p w14:paraId="317F14A2" w14:textId="77777777" w:rsidR="00DE331C" w:rsidRDefault="002F609E">
      <w:pPr>
        <w:spacing w:line="360" w:lineRule="auto"/>
        <w:ind w:left="63" w:right="75"/>
        <w:rPr>
          <w:sz w:val="24"/>
          <w:szCs w:val="24"/>
        </w:rPr>
      </w:pPr>
      <w:r>
        <w:rPr>
          <w:sz w:val="24"/>
          <w:szCs w:val="24"/>
        </w:rPr>
        <w:t>Centro de educación superior: Universidad de Lima</w:t>
      </w:r>
    </w:p>
    <w:p w14:paraId="317F14A3" w14:textId="77777777" w:rsidR="00DE331C" w:rsidRDefault="00DE331C">
      <w:pPr>
        <w:pBdr>
          <w:top w:val="nil"/>
          <w:left w:val="nil"/>
          <w:bottom w:val="nil"/>
          <w:right w:val="nil"/>
          <w:between w:val="nil"/>
        </w:pBdr>
        <w:spacing w:before="6" w:line="360" w:lineRule="auto"/>
        <w:rPr>
          <w:color w:val="000000"/>
          <w:sz w:val="24"/>
          <w:szCs w:val="24"/>
        </w:rPr>
      </w:pPr>
    </w:p>
    <w:p w14:paraId="317F14A4" w14:textId="77777777" w:rsidR="00DE331C" w:rsidRDefault="002F609E">
      <w:pPr>
        <w:pStyle w:val="Heading1"/>
        <w:spacing w:line="360" w:lineRule="auto"/>
        <w:ind w:firstLine="63"/>
        <w:jc w:val="left"/>
        <w:rPr>
          <w:b w:val="0"/>
          <w:bCs w:val="0"/>
          <w:sz w:val="24"/>
          <w:szCs w:val="24"/>
        </w:rPr>
      </w:pPr>
      <w:r>
        <w:rPr>
          <w:b w:val="0"/>
          <w:bCs w:val="0"/>
          <w:sz w:val="24"/>
          <w:szCs w:val="24"/>
        </w:rPr>
        <w:t>Información de matrícula:</w:t>
      </w:r>
    </w:p>
    <w:p w14:paraId="317F14A5" w14:textId="77777777" w:rsidR="00DE331C" w:rsidRDefault="002F609E">
      <w:pPr>
        <w:spacing w:before="289" w:line="360" w:lineRule="auto"/>
        <w:ind w:left="63" w:right="75"/>
        <w:rPr>
          <w:sz w:val="24"/>
          <w:szCs w:val="24"/>
        </w:rPr>
      </w:pPr>
      <w:r>
        <w:rPr>
          <w:sz w:val="24"/>
          <w:szCs w:val="24"/>
        </w:rPr>
        <w:t>Código: 20215112</w:t>
      </w:r>
    </w:p>
    <w:p w14:paraId="317F14A6" w14:textId="77777777" w:rsidR="00DE331C" w:rsidRDefault="002F609E">
      <w:pPr>
        <w:spacing w:before="41" w:line="360" w:lineRule="auto"/>
        <w:ind w:left="64" w:right="12"/>
        <w:rPr>
          <w:sz w:val="24"/>
          <w:szCs w:val="24"/>
        </w:rPr>
      </w:pPr>
      <w:r>
        <w:rPr>
          <w:sz w:val="24"/>
          <w:szCs w:val="24"/>
        </w:rPr>
        <w:t>Periodo: 2025-2</w:t>
      </w:r>
    </w:p>
    <w:p w14:paraId="317F14A7" w14:textId="77777777" w:rsidR="00DE331C" w:rsidRDefault="002F609E">
      <w:pPr>
        <w:spacing w:before="41" w:line="360" w:lineRule="auto"/>
        <w:ind w:left="63" w:right="75"/>
        <w:rPr>
          <w:sz w:val="24"/>
          <w:szCs w:val="24"/>
        </w:rPr>
      </w:pPr>
      <w:r>
        <w:rPr>
          <w:sz w:val="24"/>
          <w:szCs w:val="24"/>
        </w:rPr>
        <w:t xml:space="preserve">Correo: </w:t>
      </w:r>
      <w:hyperlink r:id="rId5">
        <w:r>
          <w:rPr>
            <w:sz w:val="24"/>
            <w:szCs w:val="24"/>
          </w:rPr>
          <w:t>20215112@aloe.ulima.edu.pe</w:t>
        </w:r>
      </w:hyperlink>
    </w:p>
    <w:p w14:paraId="317F14A8" w14:textId="77777777" w:rsidR="00DE331C" w:rsidRDefault="002F609E">
      <w:pPr>
        <w:pStyle w:val="Heading2"/>
        <w:spacing w:before="42" w:line="360" w:lineRule="auto"/>
        <w:ind w:firstLine="64"/>
        <w:jc w:val="left"/>
        <w:rPr>
          <w:b w:val="0"/>
          <w:bCs w:val="0"/>
        </w:rPr>
      </w:pPr>
      <w:r>
        <w:rPr>
          <w:b w:val="0"/>
          <w:bCs w:val="0"/>
        </w:rPr>
        <w:t>Matrícula vigente 5 asignaturas - 19 créditos:</w:t>
      </w:r>
    </w:p>
    <w:p w14:paraId="317F14A9" w14:textId="77777777" w:rsidR="00DE331C" w:rsidRDefault="002F609E">
      <w:pPr>
        <w:spacing w:before="41" w:line="360" w:lineRule="auto"/>
        <w:ind w:left="66" w:right="12"/>
        <w:rPr>
          <w:sz w:val="24"/>
          <w:szCs w:val="24"/>
        </w:rPr>
      </w:pPr>
      <w:r>
        <w:rPr>
          <w:sz w:val="24"/>
          <w:szCs w:val="24"/>
        </w:rPr>
        <w:t>Historia General del Derecho, Introducción a la Ciencia Política, Introducción a las Ciencias Jurídicas, Derecho Civil I (Principios Generales y Personas Naturales), Problemática Nacional.</w:t>
      </w:r>
    </w:p>
    <w:p w14:paraId="317F14AA" w14:textId="77777777" w:rsidR="00DE331C" w:rsidRDefault="00DE331C">
      <w:pPr>
        <w:pBdr>
          <w:top w:val="nil"/>
          <w:left w:val="nil"/>
          <w:bottom w:val="nil"/>
          <w:right w:val="nil"/>
          <w:between w:val="nil"/>
        </w:pBdr>
        <w:spacing w:before="4" w:line="360" w:lineRule="auto"/>
        <w:rPr>
          <w:color w:val="000000"/>
          <w:sz w:val="24"/>
          <w:szCs w:val="24"/>
        </w:rPr>
      </w:pPr>
    </w:p>
    <w:p w14:paraId="317F14AB" w14:textId="77777777" w:rsidR="00DE331C" w:rsidRDefault="002F609E">
      <w:pPr>
        <w:spacing w:line="360" w:lineRule="auto"/>
        <w:ind w:left="75" w:right="12"/>
        <w:rPr>
          <w:sz w:val="24"/>
          <w:szCs w:val="24"/>
        </w:rPr>
      </w:pPr>
      <w:r>
        <w:rPr>
          <w:sz w:val="24"/>
          <w:szCs w:val="24"/>
        </w:rPr>
        <w:t>Docente aval: Dr. Ana Cristina Dominguez Vera</w:t>
      </w:r>
    </w:p>
    <w:p w14:paraId="317F14AC" w14:textId="77777777" w:rsidR="00DE331C" w:rsidRDefault="002F609E">
      <w:pPr>
        <w:spacing w:before="48" w:line="360" w:lineRule="auto"/>
        <w:ind w:left="75" w:right="12"/>
        <w:rPr>
          <w:sz w:val="24"/>
          <w:szCs w:val="24"/>
        </w:rPr>
      </w:pPr>
      <w:r>
        <w:rPr>
          <w:sz w:val="24"/>
          <w:szCs w:val="24"/>
        </w:rPr>
        <w:t>Curso: Historia General del Derecho</w:t>
      </w:r>
    </w:p>
    <w:p w14:paraId="317F14AD" w14:textId="77777777" w:rsidR="00DE331C" w:rsidRDefault="00DE331C">
      <w:pPr>
        <w:pBdr>
          <w:top w:val="nil"/>
          <w:left w:val="nil"/>
          <w:bottom w:val="nil"/>
          <w:right w:val="nil"/>
          <w:between w:val="nil"/>
        </w:pBdr>
        <w:spacing w:line="360" w:lineRule="auto"/>
        <w:rPr>
          <w:color w:val="000000"/>
          <w:sz w:val="24"/>
          <w:szCs w:val="24"/>
        </w:rPr>
      </w:pPr>
    </w:p>
    <w:p w14:paraId="317F14AE" w14:textId="77777777" w:rsidR="00DE331C" w:rsidRDefault="00DE331C">
      <w:pPr>
        <w:pBdr>
          <w:top w:val="nil"/>
          <w:left w:val="nil"/>
          <w:bottom w:val="nil"/>
          <w:right w:val="nil"/>
          <w:between w:val="nil"/>
        </w:pBdr>
        <w:spacing w:before="306" w:line="360" w:lineRule="auto"/>
        <w:rPr>
          <w:color w:val="000000"/>
          <w:sz w:val="24"/>
          <w:szCs w:val="24"/>
        </w:rPr>
      </w:pPr>
    </w:p>
    <w:p w14:paraId="317F14AF" w14:textId="77777777" w:rsidR="00DE331C" w:rsidRDefault="002F609E">
      <w:pPr>
        <w:pStyle w:val="Heading2"/>
        <w:spacing w:line="360" w:lineRule="auto"/>
        <w:ind w:firstLine="64"/>
        <w:jc w:val="left"/>
        <w:rPr>
          <w:b w:val="0"/>
          <w:bCs w:val="0"/>
        </w:rPr>
      </w:pPr>
      <w:r>
        <w:rPr>
          <w:b w:val="0"/>
          <w:bCs w:val="0"/>
        </w:rPr>
        <w:t>Facultad de Derecho – Universidad de Lima</w:t>
      </w:r>
    </w:p>
    <w:p w14:paraId="317F14B0" w14:textId="77777777" w:rsidR="00DE331C" w:rsidRDefault="00DE331C">
      <w:pPr>
        <w:pBdr>
          <w:top w:val="nil"/>
          <w:left w:val="nil"/>
          <w:bottom w:val="nil"/>
          <w:right w:val="nil"/>
          <w:between w:val="nil"/>
        </w:pBdr>
        <w:spacing w:before="45" w:line="360" w:lineRule="auto"/>
        <w:rPr>
          <w:color w:val="000000"/>
          <w:sz w:val="24"/>
          <w:szCs w:val="24"/>
        </w:rPr>
      </w:pPr>
    </w:p>
    <w:p w14:paraId="317F14B1" w14:textId="77777777" w:rsidR="00DE331C" w:rsidRDefault="002F609E">
      <w:pPr>
        <w:spacing w:line="360" w:lineRule="auto"/>
        <w:ind w:left="75" w:right="12"/>
        <w:rPr>
          <w:sz w:val="24"/>
          <w:szCs w:val="24"/>
        </w:rPr>
        <w:sectPr w:rsidR="00DE331C">
          <w:pgSz w:w="11920" w:h="16840"/>
          <w:pgMar w:top="1600" w:right="1417" w:bottom="280" w:left="1417" w:header="360" w:footer="360" w:gutter="0"/>
          <w:pgNumType w:start="1"/>
          <w:cols w:space="720"/>
        </w:sectPr>
      </w:pPr>
      <w:r>
        <w:rPr>
          <w:sz w:val="24"/>
          <w:szCs w:val="24"/>
        </w:rPr>
        <w:t>Año: 2025</w:t>
      </w:r>
    </w:p>
    <w:p w14:paraId="317F14B2" w14:textId="77777777" w:rsidR="00DE331C" w:rsidRDefault="002F609E">
      <w:pPr>
        <w:pStyle w:val="Heading1"/>
        <w:spacing w:line="360" w:lineRule="auto"/>
        <w:ind w:firstLine="23"/>
        <w:jc w:val="left"/>
        <w:rPr>
          <w:b w:val="0"/>
          <w:bCs w:val="0"/>
        </w:rPr>
      </w:pPr>
      <w:bookmarkStart w:id="0" w:name="_llw2qgc174gi" w:colFirst="0" w:colLast="0"/>
      <w:bookmarkEnd w:id="0"/>
      <w:r>
        <w:rPr>
          <w:b w:val="0"/>
          <w:bCs w:val="0"/>
        </w:rPr>
        <w:lastRenderedPageBreak/>
        <w:t>Resumen</w:t>
      </w:r>
    </w:p>
    <w:p w14:paraId="317F14B3" w14:textId="77777777" w:rsidR="00DE331C" w:rsidRDefault="00DE331C">
      <w:pPr>
        <w:pBdr>
          <w:top w:val="nil"/>
          <w:left w:val="nil"/>
          <w:bottom w:val="nil"/>
          <w:right w:val="nil"/>
          <w:between w:val="nil"/>
        </w:pBdr>
        <w:spacing w:before="24" w:line="360" w:lineRule="auto"/>
        <w:rPr>
          <w:color w:val="000000"/>
          <w:sz w:val="24"/>
          <w:szCs w:val="24"/>
        </w:rPr>
      </w:pPr>
    </w:p>
    <w:p w14:paraId="317F14B4" w14:textId="77777777" w:rsidR="00DE331C" w:rsidRDefault="002F609E">
      <w:pPr>
        <w:pBdr>
          <w:top w:val="nil"/>
          <w:left w:val="nil"/>
          <w:bottom w:val="nil"/>
          <w:right w:val="nil"/>
          <w:between w:val="nil"/>
        </w:pBdr>
        <w:spacing w:before="1" w:line="360" w:lineRule="auto"/>
        <w:ind w:left="23" w:right="42"/>
        <w:rPr>
          <w:color w:val="000000"/>
          <w:sz w:val="24"/>
          <w:szCs w:val="24"/>
        </w:rPr>
      </w:pPr>
      <w:r>
        <w:rPr>
          <w:color w:val="000000"/>
          <w:sz w:val="24"/>
          <w:szCs w:val="24"/>
        </w:rPr>
        <w:t>El presente ensayo “Entre carriles invisibles y brazadas táctiles: El deporte como expresión del derecho a la integración y la igualdad’’ de las personas con sordoceguera en el Perú.</w:t>
      </w:r>
    </w:p>
    <w:p w14:paraId="317F14B5" w14:textId="77777777" w:rsidR="00DE331C" w:rsidRDefault="002F609E">
      <w:pPr>
        <w:pBdr>
          <w:top w:val="nil"/>
          <w:left w:val="nil"/>
          <w:bottom w:val="nil"/>
          <w:right w:val="nil"/>
          <w:between w:val="nil"/>
        </w:pBdr>
        <w:spacing w:line="360" w:lineRule="auto"/>
        <w:ind w:left="23" w:right="38"/>
        <w:rPr>
          <w:color w:val="000000"/>
          <w:sz w:val="24"/>
          <w:szCs w:val="24"/>
        </w:rPr>
      </w:pPr>
      <w:r>
        <w:rPr>
          <w:color w:val="000000"/>
          <w:sz w:val="24"/>
          <w:szCs w:val="24"/>
        </w:rPr>
        <w:t xml:space="preserve">A partir de la Constitución Política del Perú artículo 2, inciso 22, la Ley N.º 29973 Ley General de las personas con discapacidad, Ley N.º 29524 Ley que reconoce la sordoceguera como discapacidad única, sostiene que el Estado está en la obligación jurídica y ética de garantizar que las personas con sordoceguera accedan al deporte en condiciones de igualdad es por ello </w:t>
      </w:r>
      <w:proofErr w:type="gramStart"/>
      <w:r>
        <w:rPr>
          <w:color w:val="000000"/>
          <w:sz w:val="24"/>
          <w:szCs w:val="24"/>
        </w:rPr>
        <w:t>que</w:t>
      </w:r>
      <w:proofErr w:type="gramEnd"/>
      <w:r>
        <w:rPr>
          <w:color w:val="000000"/>
          <w:sz w:val="24"/>
          <w:szCs w:val="24"/>
        </w:rPr>
        <w:t xml:space="preserve"> el ensayo destaca la función del deporte como espacio de desarrollo integral y como medio para ejercer derechos. Desde el punto de vista el deporte se adapta a personas con discapacidad para su integración y desarrollo personal, también a las condiciones físicas, sensoriales o intelectuales, modificando reglas, equipos o entornos para hacer efectivo su participación. En el caso de las personas con sordoceguera, estas adaptaciones son importantes para que puedan hacer uso de espacios deportivos seguros e</w:t>
      </w:r>
      <w:r>
        <w:rPr>
          <w:color w:val="000000"/>
          <w:sz w:val="24"/>
          <w:szCs w:val="24"/>
        </w:rPr>
        <w:t xml:space="preserve"> inclusivos, así como también el deporte favorece principalmente promoviendo la salud física en su desarrollo muscular, </w:t>
      </w:r>
      <w:proofErr w:type="spellStart"/>
      <w:proofErr w:type="gramStart"/>
      <w:r>
        <w:rPr>
          <w:color w:val="000000"/>
          <w:sz w:val="24"/>
          <w:szCs w:val="24"/>
        </w:rPr>
        <w:t>resistencia,salud</w:t>
      </w:r>
      <w:proofErr w:type="spellEnd"/>
      <w:proofErr w:type="gramEnd"/>
      <w:r>
        <w:rPr>
          <w:color w:val="000000"/>
          <w:sz w:val="24"/>
          <w:szCs w:val="24"/>
        </w:rPr>
        <w:t xml:space="preserve"> cardiovascular y su sistema respiratorio del mismo modo beneficia en su bienestar emocional y social como la autoestima, reduce el estrés, desarrollo de sus habilidades sociales y su autonomía.</w:t>
      </w:r>
    </w:p>
    <w:p w14:paraId="317F14B6" w14:textId="77777777" w:rsidR="00DE331C" w:rsidRDefault="00DE331C">
      <w:pPr>
        <w:pBdr>
          <w:top w:val="nil"/>
          <w:left w:val="nil"/>
          <w:bottom w:val="nil"/>
          <w:right w:val="nil"/>
          <w:between w:val="nil"/>
        </w:pBdr>
        <w:spacing w:before="37" w:line="360" w:lineRule="auto"/>
        <w:rPr>
          <w:color w:val="000000"/>
          <w:sz w:val="24"/>
          <w:szCs w:val="24"/>
        </w:rPr>
      </w:pPr>
    </w:p>
    <w:p w14:paraId="317F14B7" w14:textId="77777777" w:rsidR="00DE331C" w:rsidRDefault="002F609E">
      <w:pPr>
        <w:spacing w:before="1" w:line="360" w:lineRule="auto"/>
        <w:ind w:left="23"/>
        <w:rPr>
          <w:sz w:val="24"/>
          <w:szCs w:val="24"/>
        </w:rPr>
        <w:sectPr w:rsidR="00DE331C">
          <w:pgSz w:w="11920" w:h="16840"/>
          <w:pgMar w:top="1900" w:right="1417" w:bottom="280" w:left="1417" w:header="360" w:footer="360" w:gutter="0"/>
          <w:cols w:space="720"/>
        </w:sectPr>
      </w:pPr>
      <w:r>
        <w:rPr>
          <w:sz w:val="24"/>
          <w:szCs w:val="24"/>
        </w:rPr>
        <w:t>Palabras clave: deporte, sordoceguera, integración, participación, igualdad</w:t>
      </w:r>
    </w:p>
    <w:p w14:paraId="317F14B8" w14:textId="77777777" w:rsidR="00DE331C" w:rsidRDefault="002F609E">
      <w:pPr>
        <w:pStyle w:val="Heading1"/>
        <w:spacing w:line="360" w:lineRule="auto"/>
        <w:ind w:firstLine="23"/>
        <w:jc w:val="left"/>
        <w:rPr>
          <w:b w:val="0"/>
          <w:bCs w:val="0"/>
        </w:rPr>
      </w:pPr>
      <w:bookmarkStart w:id="1" w:name="_9k5ykugphoqs" w:colFirst="0" w:colLast="0"/>
      <w:bookmarkEnd w:id="1"/>
      <w:r>
        <w:rPr>
          <w:b w:val="0"/>
          <w:bCs w:val="0"/>
        </w:rPr>
        <w:lastRenderedPageBreak/>
        <w:t>Introducción</w:t>
      </w:r>
    </w:p>
    <w:p w14:paraId="317F14B9" w14:textId="77777777" w:rsidR="00DE331C" w:rsidRDefault="00DE331C">
      <w:pPr>
        <w:pBdr>
          <w:top w:val="nil"/>
          <w:left w:val="nil"/>
          <w:bottom w:val="nil"/>
          <w:right w:val="nil"/>
          <w:between w:val="nil"/>
        </w:pBdr>
        <w:spacing w:before="24" w:line="360" w:lineRule="auto"/>
        <w:rPr>
          <w:color w:val="000000"/>
          <w:sz w:val="24"/>
          <w:szCs w:val="24"/>
        </w:rPr>
      </w:pPr>
    </w:p>
    <w:p w14:paraId="317F14BA" w14:textId="77777777" w:rsidR="00DE331C" w:rsidRDefault="002F609E">
      <w:pPr>
        <w:pBdr>
          <w:top w:val="nil"/>
          <w:left w:val="nil"/>
          <w:bottom w:val="nil"/>
          <w:right w:val="nil"/>
          <w:between w:val="nil"/>
        </w:pBdr>
        <w:spacing w:before="1" w:line="360" w:lineRule="auto"/>
        <w:ind w:left="23" w:right="42"/>
        <w:rPr>
          <w:color w:val="000000"/>
          <w:sz w:val="24"/>
          <w:szCs w:val="24"/>
        </w:rPr>
      </w:pPr>
      <w:r>
        <w:rPr>
          <w:color w:val="000000"/>
          <w:sz w:val="24"/>
          <w:szCs w:val="24"/>
        </w:rPr>
        <w:t>El presente ensayo “Entre carriles invisibles y brazadas táctiles: El deporte como expresión del derecho a la integración y la igualdad’’ de las personas con sordoceguera en el Perú.</w:t>
      </w:r>
    </w:p>
    <w:p w14:paraId="317F14BB" w14:textId="77777777" w:rsidR="00DE331C" w:rsidRDefault="002F609E">
      <w:pPr>
        <w:pBdr>
          <w:top w:val="nil"/>
          <w:left w:val="nil"/>
          <w:bottom w:val="nil"/>
          <w:right w:val="nil"/>
          <w:between w:val="nil"/>
        </w:pBdr>
        <w:spacing w:line="360" w:lineRule="auto"/>
        <w:ind w:left="23" w:right="37"/>
        <w:rPr>
          <w:color w:val="000000"/>
          <w:sz w:val="24"/>
          <w:szCs w:val="24"/>
        </w:rPr>
      </w:pPr>
      <w:r>
        <w:rPr>
          <w:color w:val="000000"/>
          <w:sz w:val="24"/>
          <w:szCs w:val="24"/>
        </w:rPr>
        <w:t>A partir de la Constitución Política del Perú artículo 2, inciso 22, la Ley N.º 29973 Ley General de las personas con discapacidad, la Ley N.º 29524 Ley que reconoce la sordoceguera como discapacidad única y la Convención sobre los Derechos de las Personas con Discapacidad, sostiene que el Estado está en la obligación jurídica y ética de garantizar que las personas con sordoceguera accedan al deporte en condiciones de igualdad. El ensayo destaca la función del deporte como espacio de desarrollo integral y c</w:t>
      </w:r>
      <w:r>
        <w:rPr>
          <w:color w:val="000000"/>
          <w:sz w:val="24"/>
          <w:szCs w:val="24"/>
        </w:rPr>
        <w:t xml:space="preserve">omo medio para ejercer derechos. Desde el punto de vista de derechos humanos, el deporte promueve la salud y la recreación, también la autonomía e inclusión social con </w:t>
      </w:r>
      <w:proofErr w:type="gramStart"/>
      <w:r>
        <w:rPr>
          <w:color w:val="000000"/>
          <w:sz w:val="24"/>
          <w:szCs w:val="24"/>
        </w:rPr>
        <w:t>participación activa</w:t>
      </w:r>
      <w:proofErr w:type="gramEnd"/>
      <w:r>
        <w:rPr>
          <w:color w:val="000000"/>
          <w:sz w:val="24"/>
          <w:szCs w:val="24"/>
        </w:rPr>
        <w:t xml:space="preserve"> en la comunidad (Ministerio de Salud, 2024).</w:t>
      </w:r>
    </w:p>
    <w:p w14:paraId="317F14BC" w14:textId="77777777" w:rsidR="00DE331C" w:rsidRDefault="002F609E">
      <w:pPr>
        <w:pBdr>
          <w:top w:val="nil"/>
          <w:left w:val="nil"/>
          <w:bottom w:val="nil"/>
          <w:right w:val="nil"/>
          <w:between w:val="nil"/>
        </w:pBdr>
        <w:spacing w:before="240" w:line="360" w:lineRule="auto"/>
        <w:ind w:left="23" w:right="35"/>
        <w:rPr>
          <w:color w:val="000000"/>
          <w:sz w:val="24"/>
          <w:szCs w:val="24"/>
        </w:rPr>
      </w:pPr>
      <w:r>
        <w:rPr>
          <w:color w:val="000000"/>
          <w:sz w:val="24"/>
          <w:szCs w:val="24"/>
        </w:rPr>
        <w:t>La sordoceguera es una discapacidad que se manifiesta por la deficiencia auditiva y visual simultánea, en grado parcial o total, de manera suficiente y grave para comprometer la comunicación, la movilización y el acceso a la información y al entorno también es considerada una multidiscapacidad. En el Perú, esta condición se encuentra reconocida en la Ley N.º 29524, que establece medidas para la atención integral de las personas con sordoceguera, en concordancia con la Ley N.º 29973, Ley General de la Person</w:t>
      </w:r>
      <w:r>
        <w:rPr>
          <w:color w:val="000000"/>
          <w:sz w:val="24"/>
          <w:szCs w:val="24"/>
        </w:rPr>
        <w:t>a con Discapacidad, y la Convención sobre los Derechos de las Personas con Discapacidad adoptada por las Naciones Unidas.</w:t>
      </w:r>
    </w:p>
    <w:p w14:paraId="317F14BD" w14:textId="77777777" w:rsidR="00DE331C" w:rsidRDefault="002F609E">
      <w:pPr>
        <w:pBdr>
          <w:top w:val="nil"/>
          <w:left w:val="nil"/>
          <w:bottom w:val="nil"/>
          <w:right w:val="nil"/>
          <w:between w:val="nil"/>
        </w:pBdr>
        <w:spacing w:before="240" w:line="360" w:lineRule="auto"/>
        <w:ind w:left="23" w:right="40"/>
        <w:rPr>
          <w:color w:val="000000"/>
          <w:sz w:val="24"/>
          <w:szCs w:val="24"/>
        </w:rPr>
      </w:pPr>
      <w:r>
        <w:rPr>
          <w:color w:val="000000"/>
          <w:sz w:val="24"/>
          <w:szCs w:val="24"/>
        </w:rPr>
        <w:t>De acuerdo con los datos del Censo Nacional 2017 y la Encuesta Nacional Especializada en Discapacidad 2012, aproximadamente el 10,4 % de la población peruana presenta alguna discapacidad, y dentro de este grupo se estima que más de 8 300 peruanos viven con sordoceguera. A pesar de su reconocimiento legal, la participación social plena es limitada, especialmente en espacios que promueven el trabajo, la educación y el deporte. En este contexto, el deporte se convierte en una herramienta importante de inclusió</w:t>
      </w:r>
      <w:r>
        <w:rPr>
          <w:color w:val="000000"/>
          <w:sz w:val="24"/>
          <w:szCs w:val="24"/>
        </w:rPr>
        <w:t>n y de integración social fortaleciendo la autoestima y la autonomía de actuar de forma independiente, fomenta la autoconfianza, la seguridad y ayuda afrontar miedos a las personas con sordoceguera.</w:t>
      </w:r>
    </w:p>
    <w:p w14:paraId="317F14BE" w14:textId="77777777" w:rsidR="00DE331C" w:rsidRDefault="002F609E">
      <w:pPr>
        <w:pBdr>
          <w:top w:val="nil"/>
          <w:left w:val="nil"/>
          <w:bottom w:val="nil"/>
          <w:right w:val="nil"/>
          <w:between w:val="nil"/>
        </w:pBdr>
        <w:spacing w:before="240" w:line="360" w:lineRule="auto"/>
        <w:ind w:left="23" w:right="36"/>
        <w:rPr>
          <w:sz w:val="24"/>
          <w:szCs w:val="24"/>
        </w:rPr>
      </w:pPr>
      <w:r>
        <w:rPr>
          <w:color w:val="000000"/>
          <w:sz w:val="24"/>
          <w:szCs w:val="24"/>
        </w:rPr>
        <w:lastRenderedPageBreak/>
        <w:t>Es por eso que el presente ensayo sostiene que el Estado peruano tiene la obligación constitucional y legal de garantizar el acceso al deporte como parte del derecho fundamental a la igualdad y a la integración social de las personas con sordoceguera cuya capacidad de ejercicio en el deporte es muy limitada ya que no se encuentran datos estadísticos ni estudios de que personas con esta condición practican algún tipo de deporte en el Perú, también en la Ley N.º 29524 no se toma en cuenta el deporte, además p</w:t>
      </w:r>
      <w:r>
        <w:rPr>
          <w:color w:val="000000"/>
          <w:sz w:val="24"/>
          <w:szCs w:val="24"/>
        </w:rPr>
        <w:t>ara que una persona con sordoceguera practique alguna actividad deportiva involucra la participación de un guía en esta área ya que es parte importante para que personas con sordoceguera puedan desenvolverse y así mejorar su estado de salud físico, mental, educativo y su integración en la sociedad.</w:t>
      </w:r>
    </w:p>
    <w:p w14:paraId="317F14BF" w14:textId="77777777" w:rsidR="00DE331C" w:rsidRDefault="002F609E">
      <w:pPr>
        <w:pBdr>
          <w:top w:val="nil"/>
          <w:left w:val="nil"/>
          <w:bottom w:val="nil"/>
          <w:right w:val="nil"/>
          <w:between w:val="nil"/>
        </w:pBdr>
        <w:spacing w:before="240" w:line="360" w:lineRule="auto"/>
        <w:ind w:left="23" w:right="36"/>
        <w:rPr>
          <w:color w:val="000000"/>
          <w:sz w:val="24"/>
          <w:szCs w:val="24"/>
        </w:rPr>
      </w:pPr>
      <w:r>
        <w:rPr>
          <w:color w:val="000000"/>
          <w:sz w:val="24"/>
          <w:szCs w:val="24"/>
        </w:rPr>
        <w:t xml:space="preserve">El deporte como derecho fundamental en el ordenamiento jurídico peruano que menciona en la Ley N.º 28036, Ley de Promoción y Desarrollo del Deporte, manifiesta que el deporte es una actividad de interés público y una función social que contribuye a la formación integral  del  ser  humano  (Perú,  Congreso  de  la  República,  2003) Dentro de este marco, la Ley N.º 29973, Ley General de la Persona con Discapacidad, desarrolla de manera específica las obligaciones del Estado en materia de deporte, recreación </w:t>
      </w:r>
      <w:r>
        <w:rPr>
          <w:color w:val="000000"/>
          <w:sz w:val="24"/>
          <w:szCs w:val="24"/>
        </w:rPr>
        <w:t>y cultura , para ello tomó en cuenta específicamente los artículos 41, 42 y 43 de esta Ley, son importantes para entender el carácter inclusivo del deporte y su función en la integración de las personas con sordoceguera (Congreso de la República, 2012).</w:t>
      </w:r>
    </w:p>
    <w:p w14:paraId="317F14C0" w14:textId="77777777" w:rsidR="00DE331C" w:rsidRDefault="002F609E">
      <w:pPr>
        <w:pBdr>
          <w:top w:val="nil"/>
          <w:left w:val="nil"/>
          <w:bottom w:val="nil"/>
          <w:right w:val="nil"/>
          <w:between w:val="nil"/>
        </w:pBdr>
        <w:spacing w:before="240" w:line="360" w:lineRule="auto"/>
        <w:ind w:left="23" w:right="36"/>
        <w:rPr>
          <w:color w:val="000000"/>
          <w:sz w:val="24"/>
          <w:szCs w:val="24"/>
        </w:rPr>
      </w:pPr>
      <w:r>
        <w:rPr>
          <w:color w:val="000000"/>
          <w:sz w:val="24"/>
          <w:szCs w:val="24"/>
        </w:rPr>
        <w:t xml:space="preserve">El Artículo 41 dispone que el Instituto Peruano del Deporte (IPD), promueve y coordina la participación de la persona con discapacidad en las actividades deportivas ,la formación y capacitación de técnicos, dirigentes y profesionales </w:t>
      </w:r>
      <w:proofErr w:type="spellStart"/>
      <w:r>
        <w:rPr>
          <w:color w:val="000000"/>
          <w:sz w:val="24"/>
          <w:szCs w:val="24"/>
        </w:rPr>
        <w:t>deportivos,por</w:t>
      </w:r>
      <w:proofErr w:type="spellEnd"/>
      <w:r>
        <w:rPr>
          <w:color w:val="000000"/>
          <w:sz w:val="24"/>
          <w:szCs w:val="24"/>
        </w:rPr>
        <w:t xml:space="preserve"> otra parte, el Artículo 42 dispone que las federaciones deportivas de personas con discapacidad desarrollan, promueven, organizan, dirigen la práctica deportiva en sus diferentes disciplinas y modalidades específicas, y promueven su participación en competencias internacionales. El Consejo Nacional para la Integración de la Persona con Discapacidad (CONADIS) y el Instituto Peruano del Deporte (IPD) promueven la creación de las federaciones deportivas de personas con discapacidad que demanden </w:t>
      </w:r>
      <w:r>
        <w:rPr>
          <w:color w:val="000000"/>
          <w:sz w:val="24"/>
          <w:szCs w:val="24"/>
        </w:rPr>
        <w:t xml:space="preserve">las diferentes discapacidades, a fin de que el Perú pueda integrarse al Comité Paralímpico Internacional (CPI) y otras entidades deportivas para la persona con discapacidad (Perú, Congreso de la República,2012). </w:t>
      </w:r>
      <w:proofErr w:type="spellStart"/>
      <w:r>
        <w:rPr>
          <w:color w:val="000000"/>
          <w:sz w:val="24"/>
          <w:szCs w:val="24"/>
        </w:rPr>
        <w:t>Asi</w:t>
      </w:r>
      <w:proofErr w:type="spellEnd"/>
      <w:r>
        <w:rPr>
          <w:color w:val="000000"/>
          <w:sz w:val="24"/>
          <w:szCs w:val="24"/>
        </w:rPr>
        <w:t xml:space="preserve"> mismo el Instituto Peruano del Deporte (IPD) asegura la </w:t>
      </w:r>
      <w:r>
        <w:rPr>
          <w:color w:val="000000"/>
          <w:sz w:val="24"/>
          <w:szCs w:val="24"/>
        </w:rPr>
        <w:lastRenderedPageBreak/>
        <w:t>disponibilidad de infraestructura, equipamiento y recursos necesarios para el desarrollo de actividades deportivas, finalmente, Articulo 43 dispone que el deportista con discapacidad de obtener triunfos olímpicos y mundiales serán reconocid</w:t>
      </w:r>
      <w:r>
        <w:rPr>
          <w:color w:val="000000"/>
          <w:sz w:val="24"/>
          <w:szCs w:val="24"/>
        </w:rPr>
        <w:t>os con los Laureles Deportivos del Perú y los demás premios, estímulos y distinciones que otorga el Instituto Peruano del Deporte (IPD) y el Comité Olímpico Peruano, en igualdad de condiciones que los demás deportistas (Congreso de la República, 2012).</w:t>
      </w:r>
    </w:p>
    <w:p w14:paraId="317F14C1" w14:textId="77777777" w:rsidR="00DE331C" w:rsidRDefault="002F609E">
      <w:pPr>
        <w:pBdr>
          <w:top w:val="nil"/>
          <w:left w:val="nil"/>
          <w:bottom w:val="nil"/>
          <w:right w:val="nil"/>
          <w:between w:val="nil"/>
        </w:pBdr>
        <w:spacing w:before="240" w:line="360" w:lineRule="auto"/>
        <w:ind w:left="23" w:right="35"/>
        <w:rPr>
          <w:color w:val="000000"/>
          <w:sz w:val="24"/>
          <w:szCs w:val="24"/>
        </w:rPr>
      </w:pPr>
      <w:r>
        <w:rPr>
          <w:color w:val="000000"/>
          <w:sz w:val="24"/>
          <w:szCs w:val="24"/>
        </w:rPr>
        <w:t xml:space="preserve">Estos artículos aunque no tiene un alcance específico con respecto a las personas con sordoceguera, si la tiene la Ley </w:t>
      </w:r>
      <w:proofErr w:type="spellStart"/>
      <w:r>
        <w:rPr>
          <w:color w:val="000000"/>
          <w:sz w:val="24"/>
          <w:szCs w:val="24"/>
        </w:rPr>
        <w:t>Nº</w:t>
      </w:r>
      <w:proofErr w:type="spellEnd"/>
      <w:r>
        <w:rPr>
          <w:color w:val="000000"/>
          <w:sz w:val="24"/>
          <w:szCs w:val="24"/>
        </w:rPr>
        <w:t xml:space="preserve"> 29524 (Ley que reconoce la sordoceguera como discapacidad única </w:t>
      </w:r>
      <w:r>
        <w:rPr>
          <w:sz w:val="24"/>
          <w:szCs w:val="24"/>
        </w:rPr>
        <w:t xml:space="preserve">en el </w:t>
      </w:r>
      <w:r>
        <w:rPr>
          <w:color w:val="000000"/>
          <w:sz w:val="24"/>
          <w:szCs w:val="24"/>
        </w:rPr>
        <w:t>Perú (Perú, Congreso de la República, 2010), pero no toma en cuenta sobre su integración al deporte cuya inclusión es un poco más compleja ya que requiere de adaptaciones táctiles, señalización adecuada y guías intérprete que aseguren la comunicación y la seguridad durante la práctica deportiva, esta ley se limita a hablar sobre el reconocimiento de esta discapacidad y la importancia de los guías intérpretes en la parte comunicativa má</w:t>
      </w:r>
      <w:r>
        <w:rPr>
          <w:color w:val="000000"/>
          <w:sz w:val="24"/>
          <w:szCs w:val="24"/>
        </w:rPr>
        <w:t>s no su función en otras áreas (Perú, Congreso de la República, 2012).</w:t>
      </w:r>
    </w:p>
    <w:p w14:paraId="317F14C2" w14:textId="77777777" w:rsidR="00DE331C" w:rsidRDefault="00DE331C">
      <w:pPr>
        <w:pBdr>
          <w:top w:val="nil"/>
          <w:left w:val="nil"/>
          <w:bottom w:val="nil"/>
          <w:right w:val="nil"/>
          <w:between w:val="nil"/>
        </w:pBdr>
        <w:spacing w:before="26" w:line="360" w:lineRule="auto"/>
        <w:rPr>
          <w:color w:val="000000"/>
          <w:sz w:val="24"/>
          <w:szCs w:val="24"/>
        </w:rPr>
      </w:pPr>
    </w:p>
    <w:p w14:paraId="317F14C3" w14:textId="77777777" w:rsidR="00DE331C" w:rsidRDefault="002F609E">
      <w:pPr>
        <w:pBdr>
          <w:top w:val="nil"/>
          <w:left w:val="nil"/>
          <w:bottom w:val="nil"/>
          <w:right w:val="nil"/>
          <w:between w:val="nil"/>
        </w:pBdr>
        <w:spacing w:before="1" w:line="360" w:lineRule="auto"/>
        <w:ind w:left="23" w:right="43"/>
        <w:rPr>
          <w:color w:val="000000"/>
          <w:sz w:val="24"/>
          <w:szCs w:val="24"/>
        </w:rPr>
        <w:sectPr w:rsidR="00DE331C">
          <w:pgSz w:w="11920" w:h="16840"/>
          <w:pgMar w:top="1900" w:right="1417" w:bottom="280" w:left="1417" w:header="360" w:footer="360" w:gutter="0"/>
          <w:cols w:space="720"/>
        </w:sectPr>
      </w:pPr>
      <w:r>
        <w:rPr>
          <w:color w:val="000000"/>
          <w:sz w:val="24"/>
          <w:szCs w:val="24"/>
        </w:rPr>
        <w:t xml:space="preserve">El deporte se adapta a personas con discapacidad para su integración y desarrollo personal, también a las condiciones físicas, sensoriales o intelectuales, modificando reglas, equipos o entornos para hacer efectivo su participación. En el caso de las personas con sordoceguera, estas adaptaciones son importantes para que puedan hacer uso de espacios deportivos seguros e inclusivos. Los deportes que </w:t>
      </w:r>
      <w:proofErr w:type="gramStart"/>
      <w:r>
        <w:rPr>
          <w:color w:val="000000"/>
          <w:sz w:val="24"/>
          <w:szCs w:val="24"/>
        </w:rPr>
        <w:t>una persona con sordoceguera pueden</w:t>
      </w:r>
      <w:proofErr w:type="gramEnd"/>
      <w:r>
        <w:rPr>
          <w:color w:val="000000"/>
          <w:sz w:val="24"/>
          <w:szCs w:val="24"/>
        </w:rPr>
        <w:t xml:space="preserve"> participar son:</w:t>
      </w:r>
    </w:p>
    <w:p w14:paraId="317F14C4" w14:textId="77777777" w:rsidR="00DE331C" w:rsidRDefault="002F609E">
      <w:pPr>
        <w:numPr>
          <w:ilvl w:val="0"/>
          <w:numId w:val="2"/>
        </w:numPr>
        <w:pBdr>
          <w:top w:val="nil"/>
          <w:left w:val="nil"/>
          <w:bottom w:val="nil"/>
          <w:right w:val="nil"/>
          <w:between w:val="nil"/>
        </w:pBdr>
        <w:tabs>
          <w:tab w:val="left" w:pos="741"/>
          <w:tab w:val="left" w:pos="743"/>
        </w:tabs>
        <w:spacing w:before="80" w:line="360" w:lineRule="auto"/>
        <w:ind w:right="42"/>
        <w:rPr>
          <w:color w:val="000000"/>
          <w:sz w:val="24"/>
          <w:szCs w:val="24"/>
        </w:rPr>
      </w:pPr>
      <w:r>
        <w:rPr>
          <w:color w:val="000000"/>
          <w:sz w:val="24"/>
          <w:szCs w:val="24"/>
        </w:rPr>
        <w:lastRenderedPageBreak/>
        <w:t>Atletismo, el deportista y su guía corren unidos con una cuerda o cinta corta, sincronizando movimientos mediante señales táctiles (Servicio de Información sobre Discapacidad (SID), 2009).</w:t>
      </w:r>
    </w:p>
    <w:p w14:paraId="317F14C5" w14:textId="77777777" w:rsidR="00DE331C" w:rsidRDefault="002F609E">
      <w:pPr>
        <w:numPr>
          <w:ilvl w:val="0"/>
          <w:numId w:val="2"/>
        </w:numPr>
        <w:pBdr>
          <w:top w:val="nil"/>
          <w:left w:val="nil"/>
          <w:bottom w:val="nil"/>
          <w:right w:val="nil"/>
          <w:between w:val="nil"/>
        </w:pBdr>
        <w:tabs>
          <w:tab w:val="left" w:pos="741"/>
          <w:tab w:val="left" w:pos="743"/>
        </w:tabs>
        <w:spacing w:line="360" w:lineRule="auto"/>
        <w:ind w:right="35"/>
        <w:rPr>
          <w:color w:val="000000"/>
          <w:sz w:val="24"/>
          <w:szCs w:val="24"/>
        </w:rPr>
      </w:pPr>
      <w:r>
        <w:rPr>
          <w:color w:val="000000"/>
          <w:sz w:val="24"/>
          <w:szCs w:val="24"/>
        </w:rPr>
        <w:t xml:space="preserve">Natación, se emplea total acompañamiento de un guía el cual hace uso de toques suaves al deportista para indicar giros o </w:t>
      </w:r>
      <w:proofErr w:type="spellStart"/>
      <w:proofErr w:type="gramStart"/>
      <w:r>
        <w:rPr>
          <w:color w:val="000000"/>
          <w:sz w:val="24"/>
          <w:szCs w:val="24"/>
        </w:rPr>
        <w:t>llegadas.Estos</w:t>
      </w:r>
      <w:proofErr w:type="spellEnd"/>
      <w:proofErr w:type="gramEnd"/>
      <w:r>
        <w:rPr>
          <w:color w:val="000000"/>
          <w:sz w:val="24"/>
          <w:szCs w:val="24"/>
        </w:rPr>
        <w:t xml:space="preserve"> deportes fortalecen la comunicación táctil (dactilología), la autoconfianza y la integración social, es así como el deporte es una herramienta jurídica y pedagógica de inclusión (International Blind Sports </w:t>
      </w:r>
      <w:proofErr w:type="spellStart"/>
      <w:r>
        <w:rPr>
          <w:color w:val="000000"/>
          <w:sz w:val="24"/>
          <w:szCs w:val="24"/>
        </w:rPr>
        <w:t>Federation</w:t>
      </w:r>
      <w:proofErr w:type="spellEnd"/>
      <w:r>
        <w:rPr>
          <w:color w:val="000000"/>
          <w:sz w:val="24"/>
          <w:szCs w:val="24"/>
        </w:rPr>
        <w:t xml:space="preserve"> (IBSA), 2025).</w:t>
      </w:r>
    </w:p>
    <w:p w14:paraId="317F14C6" w14:textId="77777777" w:rsidR="00DE331C" w:rsidRDefault="00DE331C">
      <w:pPr>
        <w:pBdr>
          <w:top w:val="nil"/>
          <w:left w:val="nil"/>
          <w:bottom w:val="nil"/>
          <w:right w:val="nil"/>
          <w:between w:val="nil"/>
        </w:pBdr>
        <w:spacing w:before="27" w:line="360" w:lineRule="auto"/>
        <w:rPr>
          <w:color w:val="000000"/>
          <w:sz w:val="24"/>
          <w:szCs w:val="24"/>
        </w:rPr>
      </w:pPr>
    </w:p>
    <w:p w14:paraId="317F14C7" w14:textId="77777777" w:rsidR="00DE331C" w:rsidRDefault="002F609E">
      <w:pPr>
        <w:pBdr>
          <w:top w:val="nil"/>
          <w:left w:val="nil"/>
          <w:bottom w:val="nil"/>
          <w:right w:val="nil"/>
          <w:between w:val="nil"/>
        </w:pBdr>
        <w:spacing w:line="360" w:lineRule="auto"/>
        <w:ind w:left="23" w:right="36"/>
        <w:rPr>
          <w:color w:val="000000"/>
          <w:sz w:val="24"/>
          <w:szCs w:val="24"/>
        </w:rPr>
      </w:pPr>
      <w:r>
        <w:rPr>
          <w:color w:val="000000"/>
          <w:sz w:val="24"/>
          <w:szCs w:val="24"/>
        </w:rPr>
        <w:t>El rol del guía o intérprete como facilitador del derecho a la participación cumple un rol importante en la práctica deportiva de las personas con sordoceguera, pues actúa como un medio de conexión entre el entorno y el deportista. Su función no se limita a la asistencia física ya que también es un soporte de comunicación y de seguridad, permitiendo que el atleta pueda realizar sus actividades con autonomía (Muñoz &amp; Barrero, 2023</w:t>
      </w:r>
      <w:proofErr w:type="gramStart"/>
      <w:r>
        <w:rPr>
          <w:color w:val="000000"/>
          <w:sz w:val="24"/>
          <w:szCs w:val="24"/>
        </w:rPr>
        <w:t>) .</w:t>
      </w:r>
      <w:proofErr w:type="gramEnd"/>
      <w:r>
        <w:rPr>
          <w:color w:val="000000"/>
          <w:sz w:val="24"/>
          <w:szCs w:val="24"/>
        </w:rPr>
        <w:t xml:space="preserve"> Además, el vínculo entre el guía y el deportista sordociego se basa en la confianza y en la comunicación táctil (dactilología</w:t>
      </w:r>
      <w:proofErr w:type="gramStart"/>
      <w:r>
        <w:rPr>
          <w:color w:val="000000"/>
          <w:sz w:val="24"/>
          <w:szCs w:val="24"/>
        </w:rPr>
        <w:t>) ,</w:t>
      </w:r>
      <w:proofErr w:type="gramEnd"/>
      <w:r>
        <w:rPr>
          <w:color w:val="000000"/>
          <w:sz w:val="24"/>
          <w:szCs w:val="24"/>
        </w:rPr>
        <w:t xml:space="preserve"> que desarrolla un trabajo en equipo que simboliza la esencia de la integración. Por ello, es importante que los programas deportivos incluyan la formación y certificación de guías e intérpretes deportivos, asegurando su reconocimiento profesional y ético (Ministerio de Educación del Perú, 2021).</w:t>
      </w:r>
    </w:p>
    <w:p w14:paraId="317F14C8" w14:textId="77777777" w:rsidR="00DE331C" w:rsidRDefault="002F609E">
      <w:pPr>
        <w:pBdr>
          <w:top w:val="nil"/>
          <w:left w:val="nil"/>
          <w:bottom w:val="nil"/>
          <w:right w:val="nil"/>
          <w:between w:val="nil"/>
        </w:pBdr>
        <w:spacing w:before="240" w:line="360" w:lineRule="auto"/>
        <w:ind w:left="23" w:right="37"/>
        <w:rPr>
          <w:color w:val="000000"/>
          <w:sz w:val="24"/>
          <w:szCs w:val="24"/>
        </w:rPr>
      </w:pPr>
      <w:r>
        <w:rPr>
          <w:color w:val="000000"/>
          <w:sz w:val="24"/>
          <w:szCs w:val="24"/>
        </w:rPr>
        <w:t>Desde el punto de vista jurídico, su presencia responde a la Ley N.º 29524 , que obliga al Estado a formar y acreditar guías intérpretes y a las instituciones públicas y privadas a proporcionar servicio de guía intérprete cuando estas lo requieran de forma gratuita, esto está especificados en los Artículos 4, 5 y 6 (Perú, Congreso de la República, 2010) ,en esta ley no se especifica un guía intérprete para esta discapacidad en ámbito deportivo y este es necesario porque se convierte en una figura que hace p</w:t>
      </w:r>
      <w:r>
        <w:rPr>
          <w:color w:val="000000"/>
          <w:sz w:val="24"/>
          <w:szCs w:val="24"/>
        </w:rPr>
        <w:t>osible el ejercicio efectivo del derecho al deporte, eliminando las barreras que impiden la participación plena.</w:t>
      </w:r>
    </w:p>
    <w:p w14:paraId="317F14C9" w14:textId="77777777" w:rsidR="00DE331C" w:rsidRDefault="00DE331C">
      <w:pPr>
        <w:pBdr>
          <w:top w:val="nil"/>
          <w:left w:val="nil"/>
          <w:bottom w:val="nil"/>
          <w:right w:val="nil"/>
          <w:between w:val="nil"/>
        </w:pBdr>
        <w:spacing w:before="27" w:line="360" w:lineRule="auto"/>
        <w:rPr>
          <w:color w:val="000000"/>
          <w:sz w:val="24"/>
          <w:szCs w:val="24"/>
        </w:rPr>
      </w:pPr>
    </w:p>
    <w:p w14:paraId="317F14CA" w14:textId="77777777" w:rsidR="00DE331C" w:rsidRDefault="002F609E">
      <w:pPr>
        <w:pBdr>
          <w:top w:val="nil"/>
          <w:left w:val="nil"/>
          <w:bottom w:val="nil"/>
          <w:right w:val="nil"/>
          <w:between w:val="nil"/>
        </w:pBdr>
        <w:spacing w:line="360" w:lineRule="auto"/>
        <w:ind w:left="23" w:right="36"/>
        <w:rPr>
          <w:color w:val="000000"/>
          <w:sz w:val="24"/>
          <w:szCs w:val="24"/>
        </w:rPr>
      </w:pPr>
      <w:r>
        <w:rPr>
          <w:color w:val="000000"/>
          <w:sz w:val="24"/>
          <w:szCs w:val="24"/>
        </w:rPr>
        <w:t xml:space="preserve">El impacto del deporte inclusivo y su promoción genera identidad, </w:t>
      </w:r>
      <w:proofErr w:type="spellStart"/>
      <w:proofErr w:type="gramStart"/>
      <w:r>
        <w:rPr>
          <w:color w:val="000000"/>
          <w:sz w:val="24"/>
          <w:szCs w:val="24"/>
        </w:rPr>
        <w:t>pertenencia,disciplina</w:t>
      </w:r>
      <w:proofErr w:type="spellEnd"/>
      <w:proofErr w:type="gramEnd"/>
      <w:r>
        <w:rPr>
          <w:color w:val="000000"/>
          <w:sz w:val="24"/>
          <w:szCs w:val="24"/>
        </w:rPr>
        <w:t xml:space="preserve"> y cohesión social. En el caso de las personas con sordoceguera, su participación en actividades deportivas contribuye a derribar estigmas y promover la empatía en la sociedad, la práctica deportiva se convierte en un espacio de encuentro donde la diferencia se transforma en valor, y la integración deja de ser un concepto abstracto para volverse una experiencia compartida (Ministerio de Salud, 2024</w:t>
      </w:r>
      <w:proofErr w:type="gramStart"/>
      <w:r>
        <w:rPr>
          <w:color w:val="000000"/>
          <w:sz w:val="24"/>
          <w:szCs w:val="24"/>
        </w:rPr>
        <w:t>) .</w:t>
      </w:r>
      <w:proofErr w:type="gramEnd"/>
      <w:r>
        <w:rPr>
          <w:color w:val="000000"/>
          <w:sz w:val="24"/>
          <w:szCs w:val="24"/>
        </w:rPr>
        <w:t xml:space="preserve"> </w:t>
      </w:r>
      <w:proofErr w:type="gramStart"/>
      <w:r>
        <w:rPr>
          <w:color w:val="000000"/>
          <w:sz w:val="24"/>
          <w:szCs w:val="24"/>
        </w:rPr>
        <w:t>Además</w:t>
      </w:r>
      <w:proofErr w:type="gramEnd"/>
      <w:r>
        <w:rPr>
          <w:color w:val="000000"/>
          <w:sz w:val="24"/>
          <w:szCs w:val="24"/>
        </w:rPr>
        <w:t xml:space="preserve"> Ley General de Salud, Ley </w:t>
      </w:r>
      <w:proofErr w:type="spellStart"/>
      <w:r>
        <w:rPr>
          <w:color w:val="000000"/>
          <w:sz w:val="24"/>
          <w:szCs w:val="24"/>
        </w:rPr>
        <w:t>N°</w:t>
      </w:r>
      <w:proofErr w:type="spellEnd"/>
      <w:r>
        <w:rPr>
          <w:color w:val="000000"/>
          <w:sz w:val="24"/>
          <w:szCs w:val="24"/>
        </w:rPr>
        <w:t xml:space="preserve"> 26842 establece </w:t>
      </w:r>
      <w:r>
        <w:rPr>
          <w:color w:val="000000"/>
          <w:sz w:val="24"/>
          <w:szCs w:val="24"/>
        </w:rPr>
        <w:lastRenderedPageBreak/>
        <w:t xml:space="preserve">que la protección de la salud es </w:t>
      </w:r>
      <w:r>
        <w:rPr>
          <w:color w:val="000000"/>
          <w:sz w:val="24"/>
          <w:szCs w:val="24"/>
        </w:rPr>
        <w:t xml:space="preserve">de interés público y responsabilidad del Estado y es así como el MINSA habla acerca de que realizar actividad física permite prevenir enfermedades como la diabetes, hipertensión, enfermedades renales, cardiopatías, problemas isquémicos, la obesidad y sobrepeso; así como también algunos tipos de cánceres, como el de mama y colón (Ministerio de Salud, 2024). Las personas con sordocegueras que no están activas en el </w:t>
      </w:r>
      <w:proofErr w:type="gramStart"/>
      <w:r>
        <w:rPr>
          <w:color w:val="000000"/>
          <w:sz w:val="24"/>
          <w:szCs w:val="24"/>
        </w:rPr>
        <w:t>deporte ,</w:t>
      </w:r>
      <w:proofErr w:type="gramEnd"/>
      <w:r>
        <w:rPr>
          <w:color w:val="000000"/>
          <w:sz w:val="24"/>
          <w:szCs w:val="24"/>
        </w:rPr>
        <w:t xml:space="preserve"> están propensas a adquirir cualquiera de estas condiciones o enfermedades, de esta fo</w:t>
      </w:r>
      <w:r>
        <w:rPr>
          <w:color w:val="000000"/>
          <w:sz w:val="24"/>
          <w:szCs w:val="24"/>
        </w:rPr>
        <w:t>rma su calidad de vida se ve afectada.</w:t>
      </w:r>
    </w:p>
    <w:p w14:paraId="317F14CB" w14:textId="77777777" w:rsidR="00DE331C" w:rsidRDefault="00DE331C">
      <w:pPr>
        <w:pBdr>
          <w:top w:val="nil"/>
          <w:left w:val="nil"/>
          <w:bottom w:val="nil"/>
          <w:right w:val="nil"/>
          <w:between w:val="nil"/>
        </w:pBdr>
        <w:spacing w:before="27" w:line="360" w:lineRule="auto"/>
        <w:rPr>
          <w:color w:val="000000"/>
          <w:sz w:val="24"/>
          <w:szCs w:val="24"/>
        </w:rPr>
      </w:pPr>
    </w:p>
    <w:p w14:paraId="317F14CC" w14:textId="77777777" w:rsidR="00DE331C" w:rsidRDefault="002F609E">
      <w:pPr>
        <w:pStyle w:val="Heading1"/>
        <w:spacing w:line="360" w:lineRule="auto"/>
        <w:ind w:firstLine="23"/>
        <w:jc w:val="left"/>
        <w:rPr>
          <w:b w:val="0"/>
          <w:bCs w:val="0"/>
        </w:rPr>
      </w:pPr>
      <w:bookmarkStart w:id="2" w:name="_pmtvsx9wf5oi" w:colFirst="0" w:colLast="0"/>
      <w:bookmarkEnd w:id="2"/>
      <w:r>
        <w:rPr>
          <w:b w:val="0"/>
          <w:bCs w:val="0"/>
        </w:rPr>
        <w:t>Conclusión</w:t>
      </w:r>
    </w:p>
    <w:p w14:paraId="317F14CD" w14:textId="77777777" w:rsidR="00DE331C" w:rsidRDefault="00DE331C">
      <w:pPr>
        <w:pBdr>
          <w:top w:val="nil"/>
          <w:left w:val="nil"/>
          <w:bottom w:val="nil"/>
          <w:right w:val="nil"/>
          <w:between w:val="nil"/>
        </w:pBdr>
        <w:spacing w:before="25" w:line="360" w:lineRule="auto"/>
        <w:rPr>
          <w:color w:val="000000"/>
          <w:sz w:val="24"/>
          <w:szCs w:val="24"/>
        </w:rPr>
      </w:pPr>
    </w:p>
    <w:p w14:paraId="317F14CE" w14:textId="77777777" w:rsidR="00DE331C" w:rsidRDefault="002F609E">
      <w:pPr>
        <w:numPr>
          <w:ilvl w:val="0"/>
          <w:numId w:val="1"/>
        </w:numPr>
        <w:pBdr>
          <w:top w:val="nil"/>
          <w:left w:val="nil"/>
          <w:bottom w:val="nil"/>
          <w:right w:val="nil"/>
          <w:between w:val="nil"/>
        </w:pBdr>
        <w:tabs>
          <w:tab w:val="left" w:pos="741"/>
          <w:tab w:val="left" w:pos="743"/>
        </w:tabs>
        <w:spacing w:line="360" w:lineRule="auto"/>
        <w:ind w:right="37"/>
        <w:rPr>
          <w:color w:val="000000"/>
          <w:sz w:val="24"/>
          <w:szCs w:val="24"/>
        </w:rPr>
      </w:pPr>
      <w:r>
        <w:rPr>
          <w:color w:val="000000"/>
          <w:sz w:val="24"/>
          <w:szCs w:val="24"/>
        </w:rPr>
        <w:t>El reconocimiento del deporte como derecho en el ordenamiento jurídico peruano garantiza la práctica física o recreativa y es un medio importante para la integración social y el desarrollo personal de las personas con discapacidad, especialmente de aquellas con sordoceguera. Si bien las Leyes vigentes como la Ley N.º 29524 y la Ley N.º 29973 reconoce los derechos y apoyos necesarios para este grupo, aún es importante hacer énfasis para fortalecer su aplicación en el área deportiva, donde la participación re</w:t>
      </w:r>
      <w:r>
        <w:rPr>
          <w:color w:val="000000"/>
          <w:sz w:val="24"/>
          <w:szCs w:val="24"/>
        </w:rPr>
        <w:t>quiere de adaptaciones sensoriales y la presencia de guías intérpretes especializados.</w:t>
      </w:r>
    </w:p>
    <w:p w14:paraId="317F14CF" w14:textId="77777777" w:rsidR="00DE331C" w:rsidRDefault="002F609E">
      <w:pPr>
        <w:numPr>
          <w:ilvl w:val="0"/>
          <w:numId w:val="1"/>
        </w:numPr>
        <w:pBdr>
          <w:top w:val="nil"/>
          <w:left w:val="nil"/>
          <w:bottom w:val="nil"/>
          <w:right w:val="nil"/>
          <w:between w:val="nil"/>
        </w:pBdr>
        <w:tabs>
          <w:tab w:val="left" w:pos="741"/>
          <w:tab w:val="left" w:pos="743"/>
        </w:tabs>
        <w:spacing w:line="360" w:lineRule="auto"/>
        <w:ind w:right="40"/>
        <w:rPr>
          <w:color w:val="000000"/>
          <w:sz w:val="24"/>
          <w:szCs w:val="24"/>
        </w:rPr>
      </w:pPr>
      <w:r>
        <w:rPr>
          <w:color w:val="000000"/>
          <w:sz w:val="24"/>
          <w:szCs w:val="24"/>
        </w:rPr>
        <w:t>El deporte, en este contexto, no debe entenderse como una actividad diferenciada, sino como una herramienta de inclusión, capaz de derribar barreras y prejuicios, promoviendo la igualdad de oportunidades. La participación de las personas con sordoceguera en disciplinas como el atletismo o la natación demuestra que la discapacidad no limita la capacidad de superación, siempre que existan los apoyos adecuados.</w:t>
      </w:r>
    </w:p>
    <w:p w14:paraId="317F14D0" w14:textId="77777777" w:rsidR="00DE331C" w:rsidRDefault="002F609E">
      <w:pPr>
        <w:numPr>
          <w:ilvl w:val="0"/>
          <w:numId w:val="1"/>
        </w:numPr>
        <w:pBdr>
          <w:top w:val="nil"/>
          <w:left w:val="nil"/>
          <w:bottom w:val="nil"/>
          <w:right w:val="nil"/>
          <w:between w:val="nil"/>
        </w:pBdr>
        <w:tabs>
          <w:tab w:val="left" w:pos="741"/>
          <w:tab w:val="left" w:pos="743"/>
        </w:tabs>
        <w:spacing w:line="360" w:lineRule="auto"/>
        <w:ind w:right="37"/>
        <w:rPr>
          <w:color w:val="000000"/>
          <w:sz w:val="24"/>
          <w:szCs w:val="24"/>
        </w:rPr>
      </w:pPr>
      <w:r>
        <w:rPr>
          <w:color w:val="000000"/>
          <w:sz w:val="24"/>
          <w:szCs w:val="24"/>
        </w:rPr>
        <w:t>El deporte fortalece la autoestima, la autonomía de actuar de forma independiente, fomenta la autoconfianza, la seguridad y ayuda afrontar miedos en personas con sordoceguera del mismo modo implica un compromiso por parte del Estado, las instituciones y la sociedad.</w:t>
      </w:r>
    </w:p>
    <w:p w14:paraId="317F14D1" w14:textId="77777777" w:rsidR="00DE331C" w:rsidRDefault="002F609E">
      <w:pPr>
        <w:numPr>
          <w:ilvl w:val="0"/>
          <w:numId w:val="1"/>
        </w:numPr>
        <w:pBdr>
          <w:top w:val="nil"/>
          <w:left w:val="nil"/>
          <w:bottom w:val="nil"/>
          <w:right w:val="nil"/>
          <w:between w:val="nil"/>
        </w:pBdr>
        <w:tabs>
          <w:tab w:val="left" w:pos="741"/>
          <w:tab w:val="left" w:pos="743"/>
        </w:tabs>
        <w:spacing w:line="360" w:lineRule="auto"/>
        <w:ind w:right="35"/>
        <w:rPr>
          <w:color w:val="000000"/>
          <w:sz w:val="24"/>
          <w:szCs w:val="24"/>
        </w:rPr>
      </w:pPr>
      <w:r>
        <w:rPr>
          <w:color w:val="000000"/>
          <w:sz w:val="24"/>
          <w:szCs w:val="24"/>
        </w:rPr>
        <w:t>La inclusión deportiva cumple una función legal, ética y social, reafirmando el valor de la integración como principio de los derechos humanos y del Estado democrático. Solo a través de la participación plena en la vida social, cultural y deportiva, las personas con sordoceguera podrán ejercer en plenitud su ciudadanía y contribuir activamente al desarrollo de un Perú más justo, inclusivo e igualitario.</w:t>
      </w:r>
    </w:p>
    <w:p w14:paraId="317F14D2" w14:textId="77777777" w:rsidR="00DE331C" w:rsidRDefault="00DE331C">
      <w:pPr>
        <w:pBdr>
          <w:top w:val="nil"/>
          <w:left w:val="nil"/>
          <w:bottom w:val="nil"/>
          <w:right w:val="nil"/>
          <w:between w:val="nil"/>
        </w:pBdr>
        <w:spacing w:before="27" w:line="360" w:lineRule="auto"/>
        <w:rPr>
          <w:color w:val="000000"/>
          <w:sz w:val="24"/>
          <w:szCs w:val="24"/>
        </w:rPr>
      </w:pPr>
    </w:p>
    <w:p w14:paraId="317F14D3" w14:textId="77777777" w:rsidR="00DE331C" w:rsidRDefault="002F609E">
      <w:pPr>
        <w:spacing w:line="360" w:lineRule="auto"/>
        <w:ind w:left="95"/>
        <w:rPr>
          <w:sz w:val="24"/>
          <w:szCs w:val="24"/>
        </w:rPr>
      </w:pPr>
      <w:r>
        <w:rPr>
          <w:sz w:val="24"/>
          <w:szCs w:val="24"/>
        </w:rPr>
        <w:t>Bibliografía / Webgrafía</w:t>
      </w:r>
    </w:p>
    <w:p w14:paraId="317F14D4" w14:textId="77777777" w:rsidR="00DE331C" w:rsidRDefault="002F609E">
      <w:pPr>
        <w:numPr>
          <w:ilvl w:val="1"/>
          <w:numId w:val="1"/>
        </w:numPr>
        <w:pBdr>
          <w:top w:val="nil"/>
          <w:left w:val="nil"/>
          <w:bottom w:val="nil"/>
          <w:right w:val="nil"/>
          <w:between w:val="nil"/>
        </w:pBdr>
        <w:tabs>
          <w:tab w:val="left" w:pos="743"/>
        </w:tabs>
        <w:spacing w:before="285" w:line="360" w:lineRule="auto"/>
        <w:ind w:right="68"/>
        <w:rPr>
          <w:color w:val="000000"/>
          <w:sz w:val="24"/>
          <w:szCs w:val="24"/>
        </w:rPr>
      </w:pPr>
      <w:r>
        <w:rPr>
          <w:color w:val="000000"/>
          <w:sz w:val="24"/>
          <w:szCs w:val="24"/>
        </w:rPr>
        <w:t xml:space="preserve">Ministerio de Salud. (2024, 6 de abril). Salud y movimiento: Minsa destaca la actividad física como clave para una vida más saludable. MINSA. </w:t>
      </w:r>
      <w:hyperlink r:id="rId6">
        <w:r>
          <w:rPr>
            <w:color w:val="1154CC"/>
            <w:sz w:val="24"/>
            <w:szCs w:val="24"/>
          </w:rPr>
          <w:t>https://www.gob.pe/institucion/minsa/noticias/931388-salud-y-movimiento-minsa-dest</w:t>
        </w:r>
      </w:hyperlink>
      <w:r>
        <w:rPr>
          <w:color w:val="1154CC"/>
          <w:sz w:val="24"/>
          <w:szCs w:val="24"/>
        </w:rPr>
        <w:t xml:space="preserve"> </w:t>
      </w:r>
      <w:hyperlink r:id="rId7">
        <w:proofErr w:type="spellStart"/>
        <w:r>
          <w:rPr>
            <w:color w:val="1154CC"/>
            <w:sz w:val="24"/>
            <w:szCs w:val="24"/>
          </w:rPr>
          <w:t>aca</w:t>
        </w:r>
        <w:proofErr w:type="spellEnd"/>
        <w:r>
          <w:rPr>
            <w:color w:val="1154CC"/>
            <w:sz w:val="24"/>
            <w:szCs w:val="24"/>
          </w:rPr>
          <w:t>-la-actividad-</w:t>
        </w:r>
        <w:proofErr w:type="spellStart"/>
        <w:r>
          <w:rPr>
            <w:color w:val="1154CC"/>
            <w:sz w:val="24"/>
            <w:szCs w:val="24"/>
          </w:rPr>
          <w:t>fisica</w:t>
        </w:r>
        <w:proofErr w:type="spellEnd"/>
        <w:r>
          <w:rPr>
            <w:color w:val="1154CC"/>
            <w:sz w:val="24"/>
            <w:szCs w:val="24"/>
          </w:rPr>
          <w:t>-como-clave-para-una-vida-mas-saludable Gobierno del Perú</w:t>
        </w:r>
      </w:hyperlink>
    </w:p>
    <w:p w14:paraId="317F14D5" w14:textId="77777777" w:rsidR="00DE331C" w:rsidRDefault="002F609E">
      <w:pPr>
        <w:numPr>
          <w:ilvl w:val="1"/>
          <w:numId w:val="1"/>
        </w:numPr>
        <w:pBdr>
          <w:top w:val="nil"/>
          <w:left w:val="nil"/>
          <w:bottom w:val="nil"/>
          <w:right w:val="nil"/>
          <w:between w:val="nil"/>
        </w:pBdr>
        <w:tabs>
          <w:tab w:val="left" w:pos="743"/>
        </w:tabs>
        <w:spacing w:line="360" w:lineRule="auto"/>
        <w:ind w:right="165"/>
        <w:rPr>
          <w:color w:val="000000"/>
          <w:sz w:val="24"/>
          <w:szCs w:val="24"/>
        </w:rPr>
      </w:pPr>
      <w:r>
        <w:rPr>
          <w:color w:val="000000"/>
          <w:sz w:val="24"/>
          <w:szCs w:val="24"/>
        </w:rPr>
        <w:t xml:space="preserve">Naciones Unidas. (2006). Convención sobre los Derechos de las Personas con Discapacidad. ONU. </w:t>
      </w:r>
      <w:hyperlink r:id="rId8">
        <w:r>
          <w:rPr>
            <w:color w:val="1154CC"/>
            <w:sz w:val="24"/>
            <w:szCs w:val="24"/>
          </w:rPr>
          <w:t>https://www.un.org/esa/socdev/enable/documents/tccconvs.pdf</w:t>
        </w:r>
      </w:hyperlink>
      <w:r>
        <w:rPr>
          <w:color w:val="1154CC"/>
          <w:sz w:val="24"/>
          <w:szCs w:val="24"/>
        </w:rPr>
        <w:t xml:space="preserve"> </w:t>
      </w:r>
      <w:hyperlink r:id="rId9">
        <w:r>
          <w:rPr>
            <w:color w:val="1154CC"/>
            <w:sz w:val="24"/>
            <w:szCs w:val="24"/>
          </w:rPr>
          <w:t>Naciones Unidas</w:t>
        </w:r>
      </w:hyperlink>
    </w:p>
    <w:p w14:paraId="317F14D6" w14:textId="77777777" w:rsidR="00DE331C" w:rsidRDefault="002F609E">
      <w:pPr>
        <w:numPr>
          <w:ilvl w:val="1"/>
          <w:numId w:val="1"/>
        </w:numPr>
        <w:pBdr>
          <w:top w:val="nil"/>
          <w:left w:val="nil"/>
          <w:bottom w:val="nil"/>
          <w:right w:val="nil"/>
          <w:between w:val="nil"/>
        </w:pBdr>
        <w:tabs>
          <w:tab w:val="left" w:pos="743"/>
        </w:tabs>
        <w:spacing w:line="360" w:lineRule="auto"/>
        <w:ind w:right="898"/>
        <w:rPr>
          <w:color w:val="000000"/>
          <w:sz w:val="24"/>
          <w:szCs w:val="24"/>
        </w:rPr>
      </w:pPr>
      <w:r>
        <w:rPr>
          <w:color w:val="000000"/>
          <w:sz w:val="24"/>
          <w:szCs w:val="24"/>
        </w:rPr>
        <w:t>Ministerio de Educación del Perú. (2021). Guía intérprete para personas con sordoceguera. MINEDU.</w:t>
      </w:r>
    </w:p>
    <w:p w14:paraId="317F14D7" w14:textId="77777777" w:rsidR="00DE331C" w:rsidRDefault="002F609E">
      <w:pPr>
        <w:pBdr>
          <w:top w:val="nil"/>
          <w:left w:val="nil"/>
          <w:bottom w:val="nil"/>
          <w:right w:val="nil"/>
          <w:between w:val="nil"/>
        </w:pBdr>
        <w:spacing w:line="360" w:lineRule="auto"/>
        <w:ind w:left="743" w:right="67"/>
        <w:rPr>
          <w:color w:val="000000"/>
          <w:sz w:val="24"/>
          <w:szCs w:val="24"/>
        </w:rPr>
      </w:pPr>
      <w:hyperlink r:id="rId10">
        <w:r>
          <w:rPr>
            <w:color w:val="1154CC"/>
            <w:sz w:val="24"/>
            <w:szCs w:val="24"/>
          </w:rPr>
          <w:t>https://www.gob.pe/institucion/minedu/informes-publicaciones/5878479-guia-interpret</w:t>
        </w:r>
      </w:hyperlink>
      <w:r>
        <w:rPr>
          <w:color w:val="1154CC"/>
          <w:sz w:val="24"/>
          <w:szCs w:val="24"/>
        </w:rPr>
        <w:t xml:space="preserve"> </w:t>
      </w:r>
      <w:hyperlink r:id="rId11">
        <w:r>
          <w:rPr>
            <w:color w:val="1154CC"/>
            <w:sz w:val="24"/>
            <w:szCs w:val="24"/>
          </w:rPr>
          <w:t>e-para-personas-con-sordoceguera Gobierno del Perú</w:t>
        </w:r>
      </w:hyperlink>
    </w:p>
    <w:p w14:paraId="317F14D8" w14:textId="77777777" w:rsidR="00DE331C" w:rsidRDefault="002F609E">
      <w:pPr>
        <w:numPr>
          <w:ilvl w:val="1"/>
          <w:numId w:val="1"/>
        </w:numPr>
        <w:pBdr>
          <w:top w:val="nil"/>
          <w:left w:val="nil"/>
          <w:bottom w:val="nil"/>
          <w:right w:val="nil"/>
          <w:between w:val="nil"/>
        </w:pBdr>
        <w:tabs>
          <w:tab w:val="left" w:pos="743"/>
        </w:tabs>
        <w:spacing w:line="360" w:lineRule="auto"/>
        <w:ind w:right="102"/>
        <w:rPr>
          <w:color w:val="000000"/>
          <w:sz w:val="24"/>
          <w:szCs w:val="24"/>
        </w:rPr>
      </w:pPr>
      <w:r>
        <w:rPr>
          <w:color w:val="000000"/>
          <w:sz w:val="24"/>
          <w:szCs w:val="24"/>
        </w:rPr>
        <w:t xml:space="preserve">Perú. Congreso de la República. (2012, 15 de octubre). </w:t>
      </w:r>
      <w:proofErr w:type="gramStart"/>
      <w:r>
        <w:rPr>
          <w:color w:val="000000"/>
          <w:sz w:val="24"/>
          <w:szCs w:val="24"/>
        </w:rPr>
        <w:t>Ley N.º</w:t>
      </w:r>
      <w:proofErr w:type="gramEnd"/>
      <w:r>
        <w:rPr>
          <w:color w:val="000000"/>
          <w:sz w:val="24"/>
          <w:szCs w:val="24"/>
        </w:rPr>
        <w:t xml:space="preserve"> 29524, Ley que reconoce la sordoceguera como discapacidad y dicta otras disposiciones. </w:t>
      </w:r>
      <w:hyperlink r:id="rId12">
        <w:r>
          <w:rPr>
            <w:color w:val="1154CC"/>
            <w:sz w:val="24"/>
            <w:szCs w:val="24"/>
          </w:rPr>
          <w:t>https://cdn.www.gob.pe/uploads/document/file/105149/_29524_-_15-10-2012_05_26</w:t>
        </w:r>
      </w:hyperlink>
    </w:p>
    <w:p w14:paraId="317F14D9" w14:textId="77777777" w:rsidR="00DE331C" w:rsidRDefault="002F609E">
      <w:pPr>
        <w:pBdr>
          <w:top w:val="nil"/>
          <w:left w:val="nil"/>
          <w:bottom w:val="nil"/>
          <w:right w:val="nil"/>
          <w:between w:val="nil"/>
        </w:pBdr>
        <w:spacing w:line="360" w:lineRule="auto"/>
        <w:ind w:left="743"/>
        <w:rPr>
          <w:color w:val="000000"/>
          <w:sz w:val="24"/>
          <w:szCs w:val="24"/>
        </w:rPr>
      </w:pPr>
      <w:hyperlink r:id="rId13">
        <w:r>
          <w:rPr>
            <w:color w:val="1154CC"/>
            <w:sz w:val="24"/>
            <w:szCs w:val="24"/>
          </w:rPr>
          <w:t>_35_-LEY_29524.pdf?v=1586905365</w:t>
        </w:r>
      </w:hyperlink>
    </w:p>
    <w:p w14:paraId="317F14DA" w14:textId="77777777" w:rsidR="00DE331C" w:rsidRDefault="002F609E">
      <w:pPr>
        <w:numPr>
          <w:ilvl w:val="1"/>
          <w:numId w:val="1"/>
        </w:numPr>
        <w:pBdr>
          <w:top w:val="nil"/>
          <w:left w:val="nil"/>
          <w:bottom w:val="nil"/>
          <w:right w:val="nil"/>
          <w:between w:val="nil"/>
        </w:pBdr>
        <w:tabs>
          <w:tab w:val="left" w:pos="743"/>
        </w:tabs>
        <w:spacing w:before="38" w:line="360" w:lineRule="auto"/>
        <w:ind w:right="54"/>
        <w:rPr>
          <w:color w:val="000000"/>
          <w:sz w:val="24"/>
          <w:szCs w:val="24"/>
        </w:rPr>
      </w:pPr>
      <w:r>
        <w:rPr>
          <w:color w:val="000000"/>
          <w:sz w:val="24"/>
          <w:szCs w:val="24"/>
        </w:rPr>
        <w:t xml:space="preserve">Perú. Congreso de la República. (actualización 20; última modificación). </w:t>
      </w:r>
      <w:proofErr w:type="gramStart"/>
      <w:r>
        <w:rPr>
          <w:color w:val="000000"/>
          <w:sz w:val="24"/>
          <w:szCs w:val="24"/>
        </w:rPr>
        <w:t>Ley N.º</w:t>
      </w:r>
      <w:proofErr w:type="gramEnd"/>
      <w:r>
        <w:rPr>
          <w:color w:val="000000"/>
          <w:sz w:val="24"/>
          <w:szCs w:val="24"/>
        </w:rPr>
        <w:t xml:space="preserve"> 29973, Ley General de la Persona con Discapacidad. </w:t>
      </w:r>
      <w:hyperlink r:id="rId14">
        <w:r>
          <w:rPr>
            <w:color w:val="1154CC"/>
            <w:sz w:val="24"/>
            <w:szCs w:val="24"/>
          </w:rPr>
          <w:t>https://cdn.www.gob.pe/uploads/document/file/534697/223512-ley-general-de-la-pers</w:t>
        </w:r>
      </w:hyperlink>
      <w:r>
        <w:rPr>
          <w:color w:val="1154CC"/>
          <w:sz w:val="24"/>
          <w:szCs w:val="24"/>
        </w:rPr>
        <w:t xml:space="preserve"> </w:t>
      </w:r>
      <w:hyperlink r:id="rId15">
        <w:proofErr w:type="spellStart"/>
        <w:r>
          <w:rPr>
            <w:color w:val="1154CC"/>
            <w:sz w:val="24"/>
            <w:szCs w:val="24"/>
          </w:rPr>
          <w:t>ona-con-discapacidad_actualizada.pdf?v</w:t>
        </w:r>
        <w:proofErr w:type="spellEnd"/>
        <w:r>
          <w:rPr>
            <w:color w:val="1154CC"/>
            <w:sz w:val="24"/>
            <w:szCs w:val="24"/>
          </w:rPr>
          <w:t>=1725564015</w:t>
        </w:r>
      </w:hyperlink>
    </w:p>
    <w:p w14:paraId="317F14DB" w14:textId="77777777" w:rsidR="00DE331C" w:rsidRDefault="002F609E">
      <w:pPr>
        <w:numPr>
          <w:ilvl w:val="1"/>
          <w:numId w:val="1"/>
        </w:numPr>
        <w:pBdr>
          <w:top w:val="nil"/>
          <w:left w:val="nil"/>
          <w:bottom w:val="nil"/>
          <w:right w:val="nil"/>
          <w:between w:val="nil"/>
        </w:pBdr>
        <w:tabs>
          <w:tab w:val="left" w:pos="743"/>
        </w:tabs>
        <w:spacing w:line="360" w:lineRule="auto"/>
        <w:ind w:right="239"/>
        <w:rPr>
          <w:color w:val="000000"/>
          <w:sz w:val="24"/>
          <w:szCs w:val="24"/>
        </w:rPr>
      </w:pPr>
      <w:r>
        <w:rPr>
          <w:color w:val="000000"/>
          <w:sz w:val="24"/>
          <w:szCs w:val="24"/>
        </w:rPr>
        <w:t>Servicio de Información sobre Discapacidad (SID). (2009). Deportes para personas ciegas y con discapacidad visual. Universidad de Salamanca.</w:t>
      </w:r>
    </w:p>
    <w:p w14:paraId="317F14DC" w14:textId="77777777" w:rsidR="00DE331C" w:rsidRDefault="002F609E">
      <w:pPr>
        <w:pBdr>
          <w:top w:val="nil"/>
          <w:left w:val="nil"/>
          <w:bottom w:val="nil"/>
          <w:right w:val="nil"/>
          <w:between w:val="nil"/>
        </w:pBdr>
        <w:spacing w:line="360" w:lineRule="auto"/>
        <w:ind w:left="743"/>
        <w:rPr>
          <w:color w:val="000000"/>
          <w:sz w:val="24"/>
          <w:szCs w:val="24"/>
        </w:rPr>
      </w:pPr>
      <w:hyperlink r:id="rId16">
        <w:r>
          <w:rPr>
            <w:color w:val="1154CC"/>
            <w:sz w:val="24"/>
            <w:szCs w:val="24"/>
          </w:rPr>
          <w:t>https://sid-inico.usal.es/idocs/F8/FDO6338/deportes_para_personas_ciegas.pdf</w:t>
        </w:r>
      </w:hyperlink>
    </w:p>
    <w:p w14:paraId="317F14DD" w14:textId="77777777" w:rsidR="00DE331C" w:rsidRDefault="002F609E">
      <w:pPr>
        <w:numPr>
          <w:ilvl w:val="1"/>
          <w:numId w:val="1"/>
        </w:numPr>
        <w:pBdr>
          <w:top w:val="nil"/>
          <w:left w:val="nil"/>
          <w:bottom w:val="nil"/>
          <w:right w:val="nil"/>
          <w:between w:val="nil"/>
        </w:pBdr>
        <w:tabs>
          <w:tab w:val="left" w:pos="743"/>
        </w:tabs>
        <w:spacing w:before="37" w:line="360" w:lineRule="auto"/>
        <w:ind w:right="704"/>
        <w:rPr>
          <w:color w:val="000000"/>
          <w:sz w:val="24"/>
          <w:szCs w:val="24"/>
        </w:rPr>
      </w:pPr>
      <w:r>
        <w:rPr>
          <w:color w:val="000000"/>
          <w:sz w:val="24"/>
          <w:szCs w:val="24"/>
        </w:rPr>
        <w:t xml:space="preserve">International Blind Sports </w:t>
      </w:r>
      <w:proofErr w:type="spellStart"/>
      <w:r>
        <w:rPr>
          <w:color w:val="000000"/>
          <w:sz w:val="24"/>
          <w:szCs w:val="24"/>
        </w:rPr>
        <w:t>Federation</w:t>
      </w:r>
      <w:proofErr w:type="spellEnd"/>
      <w:r>
        <w:rPr>
          <w:color w:val="000000"/>
          <w:sz w:val="24"/>
          <w:szCs w:val="24"/>
        </w:rPr>
        <w:t xml:space="preserve"> (IBSA). (2024). </w:t>
      </w:r>
      <w:proofErr w:type="spellStart"/>
      <w:r>
        <w:rPr>
          <w:color w:val="000000"/>
          <w:sz w:val="24"/>
          <w:szCs w:val="24"/>
        </w:rPr>
        <w:t>Swimming</w:t>
      </w:r>
      <w:proofErr w:type="spellEnd"/>
      <w:r>
        <w:rPr>
          <w:color w:val="000000"/>
          <w:sz w:val="24"/>
          <w:szCs w:val="24"/>
        </w:rPr>
        <w:t xml:space="preserve">. </w:t>
      </w:r>
      <w:hyperlink r:id="rId17">
        <w:r>
          <w:rPr>
            <w:color w:val="1154CC"/>
            <w:sz w:val="24"/>
            <w:szCs w:val="24"/>
          </w:rPr>
          <w:t>https://ibsasport.org/growing-blind-sports/helping-other-sports-grow/swimming/</w:t>
        </w:r>
      </w:hyperlink>
    </w:p>
    <w:p w14:paraId="317F14DE" w14:textId="77777777" w:rsidR="00DE331C" w:rsidRDefault="002F609E">
      <w:pPr>
        <w:numPr>
          <w:ilvl w:val="1"/>
          <w:numId w:val="1"/>
        </w:numPr>
        <w:pBdr>
          <w:top w:val="nil"/>
          <w:left w:val="nil"/>
          <w:bottom w:val="nil"/>
          <w:right w:val="nil"/>
          <w:between w:val="nil"/>
        </w:pBdr>
        <w:tabs>
          <w:tab w:val="left" w:pos="743"/>
        </w:tabs>
        <w:spacing w:line="360" w:lineRule="auto"/>
        <w:ind w:right="435"/>
        <w:rPr>
          <w:color w:val="000000"/>
          <w:sz w:val="24"/>
          <w:szCs w:val="24"/>
        </w:rPr>
      </w:pPr>
      <w:r>
        <w:rPr>
          <w:color w:val="000000"/>
          <w:sz w:val="24"/>
          <w:szCs w:val="24"/>
        </w:rPr>
        <w:t xml:space="preserve">Muñoz, I., &amp; Barrero, J. (2023, 3 de marzo). ¿Podéis vernos? ¿Podéis oírnos?: el grito de los sordociegos. EL PAÍS Verne. </w:t>
      </w:r>
      <w:hyperlink r:id="rId18">
        <w:r>
          <w:rPr>
            <w:color w:val="1154CC"/>
            <w:sz w:val="24"/>
            <w:szCs w:val="24"/>
          </w:rPr>
          <w:t>https://elpais.com/eps/2023-03-04/podeis-vernos-podeis-oirnos-el-grito-de-los-sordoc</w:t>
        </w:r>
      </w:hyperlink>
      <w:r>
        <w:rPr>
          <w:color w:val="1154CC"/>
          <w:sz w:val="24"/>
          <w:szCs w:val="24"/>
        </w:rPr>
        <w:t xml:space="preserve"> </w:t>
      </w:r>
      <w:hyperlink r:id="rId19">
        <w:r>
          <w:rPr>
            <w:color w:val="1154CC"/>
            <w:sz w:val="24"/>
            <w:szCs w:val="24"/>
          </w:rPr>
          <w:t>iegos.html</w:t>
        </w:r>
      </w:hyperlink>
    </w:p>
    <w:sectPr w:rsidR="00DE331C">
      <w:pgSz w:w="11920" w:h="16840"/>
      <w:pgMar w:top="1360" w:right="1417" w:bottom="280" w:left="1417"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1A5A3AC4-4688-4726-A9AD-17D565FEB424}"/>
  </w:font>
  <w:font w:name="Calibri">
    <w:panose1 w:val="020F0502020204030204"/>
    <w:charset w:val="00"/>
    <w:family w:val="swiss"/>
    <w:pitch w:val="variable"/>
    <w:sig w:usb0="E4002EFF" w:usb1="C200247B" w:usb2="00000009" w:usb3="00000000" w:csb0="000001FF" w:csb1="00000000"/>
    <w:embedRegular r:id="rId2" w:fontKey="{B43BA039-5F1E-4DD0-B7B6-CD1D84BBE8F9}"/>
  </w:font>
  <w:font w:name="Cambria">
    <w:panose1 w:val="02040503050406030204"/>
    <w:charset w:val="00"/>
    <w:family w:val="roman"/>
    <w:pitch w:val="variable"/>
    <w:sig w:usb0="E00006FF" w:usb1="420024FF" w:usb2="02000000" w:usb3="00000000" w:csb0="0000019F" w:csb1="00000000"/>
    <w:embedRegular r:id="rId3" w:fontKey="{4C4CD938-75FF-4931-A69F-EFE68F7ADB2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45FE7"/>
    <w:multiLevelType w:val="multilevel"/>
    <w:tmpl w:val="B4F838AC"/>
    <w:lvl w:ilvl="0">
      <w:start w:val="1"/>
      <w:numFmt w:val="decimal"/>
      <w:lvlText w:val="%1."/>
      <w:lvlJc w:val="left"/>
      <w:pPr>
        <w:ind w:left="743" w:hanging="360"/>
      </w:pPr>
      <w:rPr>
        <w:rFonts w:ascii="Arial" w:eastAsia="Arial" w:hAnsi="Arial" w:cs="Arial"/>
        <w:b w:val="0"/>
        <w:bCs w:val="0"/>
        <w:i w:val="0"/>
        <w:iCs w:val="0"/>
        <w:sz w:val="22"/>
        <w:szCs w:val="22"/>
      </w:rPr>
    </w:lvl>
    <w:lvl w:ilvl="1">
      <w:numFmt w:val="bullet"/>
      <w:lvlText w:val="•"/>
      <w:lvlJc w:val="left"/>
      <w:pPr>
        <w:ind w:left="1574" w:hanging="360"/>
      </w:pPr>
    </w:lvl>
    <w:lvl w:ilvl="2">
      <w:numFmt w:val="bullet"/>
      <w:lvlText w:val="•"/>
      <w:lvlJc w:val="left"/>
      <w:pPr>
        <w:ind w:left="2409" w:hanging="360"/>
      </w:pPr>
    </w:lvl>
    <w:lvl w:ilvl="3">
      <w:numFmt w:val="bullet"/>
      <w:lvlText w:val="•"/>
      <w:lvlJc w:val="left"/>
      <w:pPr>
        <w:ind w:left="3243" w:hanging="360"/>
      </w:pPr>
    </w:lvl>
    <w:lvl w:ilvl="4">
      <w:numFmt w:val="bullet"/>
      <w:lvlText w:val="•"/>
      <w:lvlJc w:val="left"/>
      <w:pPr>
        <w:ind w:left="4078" w:hanging="360"/>
      </w:pPr>
    </w:lvl>
    <w:lvl w:ilvl="5">
      <w:numFmt w:val="bullet"/>
      <w:lvlText w:val="•"/>
      <w:lvlJc w:val="left"/>
      <w:pPr>
        <w:ind w:left="4913" w:hanging="360"/>
      </w:pPr>
    </w:lvl>
    <w:lvl w:ilvl="6">
      <w:numFmt w:val="bullet"/>
      <w:lvlText w:val="•"/>
      <w:lvlJc w:val="left"/>
      <w:pPr>
        <w:ind w:left="5747" w:hanging="360"/>
      </w:pPr>
    </w:lvl>
    <w:lvl w:ilvl="7">
      <w:numFmt w:val="bullet"/>
      <w:lvlText w:val="•"/>
      <w:lvlJc w:val="left"/>
      <w:pPr>
        <w:ind w:left="6582" w:hanging="360"/>
      </w:pPr>
    </w:lvl>
    <w:lvl w:ilvl="8">
      <w:numFmt w:val="bullet"/>
      <w:lvlText w:val="•"/>
      <w:lvlJc w:val="left"/>
      <w:pPr>
        <w:ind w:left="7416" w:hanging="360"/>
      </w:pPr>
    </w:lvl>
  </w:abstractNum>
  <w:abstractNum w:abstractNumId="1" w15:restartNumberingAfterBreak="0">
    <w:nsid w:val="73455EA0"/>
    <w:multiLevelType w:val="multilevel"/>
    <w:tmpl w:val="47D08114"/>
    <w:lvl w:ilvl="0">
      <w:start w:val="1"/>
      <w:numFmt w:val="decimal"/>
      <w:lvlText w:val="%1)"/>
      <w:lvlJc w:val="left"/>
      <w:pPr>
        <w:ind w:left="743" w:hanging="360"/>
      </w:pPr>
      <w:rPr>
        <w:rFonts w:ascii="Arial" w:eastAsia="Arial" w:hAnsi="Arial" w:cs="Arial"/>
        <w:b w:val="0"/>
        <w:bCs w:val="0"/>
        <w:i w:val="0"/>
        <w:iCs w:val="0"/>
        <w:sz w:val="22"/>
        <w:szCs w:val="22"/>
      </w:rPr>
    </w:lvl>
    <w:lvl w:ilvl="1">
      <w:numFmt w:val="bullet"/>
      <w:lvlText w:val="●"/>
      <w:lvlJc w:val="left"/>
      <w:pPr>
        <w:ind w:left="743" w:hanging="360"/>
      </w:pPr>
      <w:rPr>
        <w:rFonts w:ascii="Arial" w:eastAsia="Arial" w:hAnsi="Arial" w:cs="Arial"/>
        <w:b w:val="0"/>
        <w:bCs w:val="0"/>
        <w:i w:val="0"/>
        <w:iCs w:val="0"/>
        <w:sz w:val="22"/>
        <w:szCs w:val="22"/>
      </w:rPr>
    </w:lvl>
    <w:lvl w:ilvl="2">
      <w:numFmt w:val="bullet"/>
      <w:lvlText w:val="•"/>
      <w:lvlJc w:val="left"/>
      <w:pPr>
        <w:ind w:left="2409" w:hanging="360"/>
      </w:pPr>
    </w:lvl>
    <w:lvl w:ilvl="3">
      <w:numFmt w:val="bullet"/>
      <w:lvlText w:val="•"/>
      <w:lvlJc w:val="left"/>
      <w:pPr>
        <w:ind w:left="3243" w:hanging="360"/>
      </w:pPr>
    </w:lvl>
    <w:lvl w:ilvl="4">
      <w:numFmt w:val="bullet"/>
      <w:lvlText w:val="•"/>
      <w:lvlJc w:val="left"/>
      <w:pPr>
        <w:ind w:left="4078" w:hanging="360"/>
      </w:pPr>
    </w:lvl>
    <w:lvl w:ilvl="5">
      <w:numFmt w:val="bullet"/>
      <w:lvlText w:val="•"/>
      <w:lvlJc w:val="left"/>
      <w:pPr>
        <w:ind w:left="4913" w:hanging="360"/>
      </w:pPr>
    </w:lvl>
    <w:lvl w:ilvl="6">
      <w:numFmt w:val="bullet"/>
      <w:lvlText w:val="•"/>
      <w:lvlJc w:val="left"/>
      <w:pPr>
        <w:ind w:left="5747" w:hanging="360"/>
      </w:pPr>
    </w:lvl>
    <w:lvl w:ilvl="7">
      <w:numFmt w:val="bullet"/>
      <w:lvlText w:val="•"/>
      <w:lvlJc w:val="left"/>
      <w:pPr>
        <w:ind w:left="6582" w:hanging="360"/>
      </w:pPr>
    </w:lvl>
    <w:lvl w:ilvl="8">
      <w:numFmt w:val="bullet"/>
      <w:lvlText w:val="•"/>
      <w:lvlJc w:val="left"/>
      <w:pPr>
        <w:ind w:left="7416" w:hanging="360"/>
      </w:pPr>
    </w:lvl>
  </w:abstractNum>
  <w:num w:numId="1" w16cid:durableId="852257221">
    <w:abstractNumId w:val="1"/>
  </w:num>
  <w:num w:numId="2" w16cid:durableId="94261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31C"/>
    <w:rsid w:val="002F609E"/>
    <w:rsid w:val="007B2497"/>
    <w:rsid w:val="00A00358"/>
    <w:rsid w:val="00DE33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F1499"/>
  <w15:docId w15:val="{D7C26208-4F12-41BD-9FD4-3A1402BC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63" w:right="75"/>
      <w:jc w:val="center"/>
      <w:outlineLvl w:val="0"/>
    </w:pPr>
    <w:rPr>
      <w:b/>
      <w:bCs/>
      <w:sz w:val="28"/>
      <w:szCs w:val="28"/>
    </w:rPr>
  </w:style>
  <w:style w:type="paragraph" w:styleId="Heading2">
    <w:name w:val="heading 2"/>
    <w:basedOn w:val="Normal"/>
    <w:next w:val="Normal"/>
    <w:uiPriority w:val="9"/>
    <w:unhideWhenUsed/>
    <w:qFormat/>
    <w:pPr>
      <w:spacing w:before="1"/>
      <w:ind w:left="64" w:right="12"/>
      <w:jc w:val="center"/>
      <w:outlineLvl w:val="1"/>
    </w:pPr>
    <w:rPr>
      <w:b/>
      <w:bCs/>
      <w:sz w:val="24"/>
      <w:szCs w:val="24"/>
    </w:rPr>
  </w:style>
  <w:style w:type="paragraph" w:styleId="Heading3">
    <w:name w:val="heading 3"/>
    <w:basedOn w:val="Normal"/>
    <w:next w:val="Normal"/>
    <w:uiPriority w:val="9"/>
    <w:semiHidden/>
    <w:unhideWhenUsed/>
    <w:qFormat/>
    <w:pPr>
      <w:spacing w:before="71"/>
      <w:ind w:left="23"/>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80"/>
      <w:ind w:left="54" w:right="66"/>
      <w:jc w:val="center"/>
    </w:pPr>
    <w:rPr>
      <w:b/>
      <w:bCs/>
      <w:sz w:val="30"/>
      <w:szCs w:val="3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org/esa/socdev/enable/documents/tccconvs.pdf?utm_source=chatgpt.com" TargetMode="External"/><Relationship Id="rId13" Type="http://schemas.openxmlformats.org/officeDocument/2006/relationships/hyperlink" Target="https://cdn.www.gob.pe/uploads/document/file/105149/_29524_-_15-10-2012_05_26_35_-LEY_29524.pdf?v=1586905365" TargetMode="External"/><Relationship Id="rId18" Type="http://schemas.openxmlformats.org/officeDocument/2006/relationships/hyperlink" Target="https://elpais.com/eps/2023-03-04/podeis-vernos-podeis-oirnos-el-grito-de-los-sordociegos.html?utm_source=chatgpt.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b.pe/institucion/minsa/noticias/931388-salud-y-movimiento-minsa-destaca-la-actividad-fisica-como-clave-para-una-vida-mas-saludable?utm_source=chatgpt.com" TargetMode="External"/><Relationship Id="rId12" Type="http://schemas.openxmlformats.org/officeDocument/2006/relationships/hyperlink" Target="https://cdn.www.gob.pe/uploads/document/file/105149/_29524_-_15-10-2012_05_26_35_-LEY_29524.pdf?v=1586905365" TargetMode="External"/><Relationship Id="rId17" Type="http://schemas.openxmlformats.org/officeDocument/2006/relationships/hyperlink" Target="https://ibsasport.org/growing-blind-sports/helping-other-sports-grow/swimming/" TargetMode="External"/><Relationship Id="rId2" Type="http://schemas.openxmlformats.org/officeDocument/2006/relationships/styles" Target="styles.xml"/><Relationship Id="rId16" Type="http://schemas.openxmlformats.org/officeDocument/2006/relationships/hyperlink" Target="https://sid-inico.usal.es/idocs/F8/FDO6338/deportes_para_personas_ciega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b.pe/institucion/minsa/noticias/931388-salud-y-movimiento-minsa-destaca-la-actividad-fisica-como-clave-para-una-vida-mas-saludable?utm_source=chatgpt.com" TargetMode="External"/><Relationship Id="rId11" Type="http://schemas.openxmlformats.org/officeDocument/2006/relationships/hyperlink" Target="https://www.gob.pe/institucion/minedu/informes-publicaciones/5878479-guia-interprete-para-personas-con-sordoceguera?utm_source=chatgpt.com" TargetMode="External"/><Relationship Id="rId5" Type="http://schemas.openxmlformats.org/officeDocument/2006/relationships/hyperlink" Target="mailto:20215112@aloe.ulima.edu.pe" TargetMode="External"/><Relationship Id="rId15" Type="http://schemas.openxmlformats.org/officeDocument/2006/relationships/hyperlink" Target="https://cdn.www.gob.pe/uploads/document/file/534697/223512-ley-general-de-la-persona-con-discapacidad_actualizada.pdf?v=1725564015" TargetMode="External"/><Relationship Id="rId10" Type="http://schemas.openxmlformats.org/officeDocument/2006/relationships/hyperlink" Target="https://www.gob.pe/institucion/minedu/informes-publicaciones/5878479-guia-interprete-para-personas-con-sordoceguera?utm_source=chatgpt.com" TargetMode="External"/><Relationship Id="rId19" Type="http://schemas.openxmlformats.org/officeDocument/2006/relationships/hyperlink" Target="https://elpais.com/eps/2023-03-04/podeis-vernos-podeis-oirnos-el-grito-de-los-sordociegos.html?utm_source=chatgpt.com" TargetMode="External"/><Relationship Id="rId4" Type="http://schemas.openxmlformats.org/officeDocument/2006/relationships/webSettings" Target="webSettings.xml"/><Relationship Id="rId9" Type="http://schemas.openxmlformats.org/officeDocument/2006/relationships/hyperlink" Target="https://www.un.org/esa/socdev/enable/documents/tccconvs.pdf?utm_source=chatgpt.com" TargetMode="External"/><Relationship Id="rId14" Type="http://schemas.openxmlformats.org/officeDocument/2006/relationships/hyperlink" Target="https://cdn.www.gob.pe/uploads/document/file/534697/223512-ley-general-de-la-persona-con-discapacidad_actualizada.pdf?v=172556401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2605</Words>
  <Characters>14849</Characters>
  <Application>Microsoft Office Word</Application>
  <DocSecurity>2</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2</cp:revision>
  <dcterms:created xsi:type="dcterms:W3CDTF">2026-03-16T14:56:00Z</dcterms:created>
  <dcterms:modified xsi:type="dcterms:W3CDTF">2026-03-16T14:56:00Z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2026-02-28T00:00:00Z</vt:lpwstr>
  </property>
  <property fmtid="{D5CDD505-2E9C-101B-9397-08002B2CF9AE}" pid="3" name="Producer">
    <vt:lpwstr>Skia/PDF m144 Google Docs Renderer</vt:lpwstr>
  </property>
  <property fmtid="{D5CDD505-2E9C-101B-9397-08002B2CF9AE}" pid="4" name="LastSaved">
    <vt:lpwstr>2026-02-28T00:00:00Z</vt:lpwstr>
  </property>
</Properties>
</file>