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6DF4" w14:textId="77777777" w:rsidR="005D7C36" w:rsidRDefault="005D7C36">
      <w:pPr>
        <w:pBdr>
          <w:top w:val="nil"/>
          <w:left w:val="nil"/>
          <w:bottom w:val="nil"/>
          <w:right w:val="nil"/>
          <w:between w:val="nil"/>
        </w:pBdr>
        <w:spacing w:before="27"/>
        <w:rPr>
          <w:rFonts w:ascii="Times New Roman" w:eastAsia="Times New Roman" w:hAnsi="Times New Roman" w:cs="Times New Roman"/>
          <w:color w:val="000000"/>
          <w:sz w:val="30"/>
          <w:szCs w:val="30"/>
        </w:rPr>
      </w:pPr>
    </w:p>
    <w:p w14:paraId="1CC36DF5" w14:textId="77777777" w:rsidR="005D7C36" w:rsidRDefault="00EB7BB6">
      <w:pPr>
        <w:pStyle w:val="Title"/>
        <w:spacing w:before="1" w:line="360" w:lineRule="auto"/>
        <w:ind w:left="0"/>
        <w:jc w:val="left"/>
        <w:rPr>
          <w:b w:val="0"/>
          <w:bCs w:val="0"/>
          <w:sz w:val="36"/>
          <w:szCs w:val="36"/>
        </w:rPr>
      </w:pPr>
      <w:bookmarkStart w:id="0" w:name="_gynd2p8vv1ve" w:colFirst="0" w:colLast="0"/>
      <w:bookmarkEnd w:id="0"/>
      <w:r>
        <w:rPr>
          <w:b w:val="0"/>
          <w:bCs w:val="0"/>
          <w:sz w:val="36"/>
          <w:szCs w:val="36"/>
        </w:rPr>
        <w:t>CUANDO EL SILENCIO Y LA OSCURIDAD SE ABRAZAN: UN ENCUENTRO CON LA ESENCIA HUMANA</w:t>
      </w:r>
    </w:p>
    <w:p w14:paraId="1CC36DF6" w14:textId="77777777" w:rsidR="005D7C36" w:rsidRDefault="005D7C36">
      <w:pPr>
        <w:pBdr>
          <w:top w:val="nil"/>
          <w:left w:val="nil"/>
          <w:bottom w:val="nil"/>
          <w:right w:val="nil"/>
          <w:between w:val="nil"/>
        </w:pBdr>
        <w:spacing w:line="360" w:lineRule="auto"/>
        <w:rPr>
          <w:b/>
          <w:bCs/>
          <w:color w:val="000000"/>
          <w:sz w:val="24"/>
          <w:szCs w:val="24"/>
        </w:rPr>
      </w:pPr>
    </w:p>
    <w:p w14:paraId="1CC36DF7" w14:textId="77777777" w:rsidR="005D7C36" w:rsidRDefault="005D7C36">
      <w:pPr>
        <w:pBdr>
          <w:top w:val="nil"/>
          <w:left w:val="nil"/>
          <w:bottom w:val="nil"/>
          <w:right w:val="nil"/>
          <w:between w:val="nil"/>
        </w:pBdr>
        <w:spacing w:line="360" w:lineRule="auto"/>
        <w:rPr>
          <w:b/>
          <w:bCs/>
          <w:color w:val="000000"/>
          <w:sz w:val="24"/>
          <w:szCs w:val="24"/>
        </w:rPr>
      </w:pPr>
    </w:p>
    <w:p w14:paraId="1CC36DF8" w14:textId="77777777" w:rsidR="005D7C36" w:rsidRDefault="005D7C36">
      <w:pPr>
        <w:pBdr>
          <w:top w:val="nil"/>
          <w:left w:val="nil"/>
          <w:bottom w:val="nil"/>
          <w:right w:val="nil"/>
          <w:between w:val="nil"/>
        </w:pBdr>
        <w:spacing w:before="155" w:line="360" w:lineRule="auto"/>
        <w:rPr>
          <w:b/>
          <w:bCs/>
          <w:color w:val="000000"/>
          <w:sz w:val="24"/>
          <w:szCs w:val="24"/>
        </w:rPr>
      </w:pPr>
    </w:p>
    <w:p w14:paraId="1CC36DF9" w14:textId="77777777" w:rsidR="005D7C36" w:rsidRDefault="00EB7BB6">
      <w:pPr>
        <w:pStyle w:val="Heading3"/>
        <w:tabs>
          <w:tab w:val="left" w:pos="2476"/>
        </w:tabs>
        <w:spacing w:line="360" w:lineRule="auto"/>
        <w:ind w:left="23" w:right="0"/>
      </w:pPr>
      <w:r>
        <w:t>Autora:</w:t>
      </w:r>
      <w:r>
        <w:tab/>
        <w:t>Milagro del Pilar Marín Domínguez</w:t>
      </w:r>
    </w:p>
    <w:p w14:paraId="1CC36DFA" w14:textId="77777777" w:rsidR="005D7C36" w:rsidRDefault="00EB7BB6">
      <w:pPr>
        <w:tabs>
          <w:tab w:val="left" w:pos="2490"/>
        </w:tabs>
        <w:spacing w:before="41" w:line="360" w:lineRule="auto"/>
        <w:ind w:left="23"/>
        <w:rPr>
          <w:sz w:val="24"/>
          <w:szCs w:val="24"/>
        </w:rPr>
      </w:pPr>
      <w:r>
        <w:rPr>
          <w:sz w:val="24"/>
          <w:szCs w:val="24"/>
        </w:rPr>
        <w:t>Carrera:</w:t>
      </w:r>
      <w:r>
        <w:rPr>
          <w:sz w:val="24"/>
          <w:szCs w:val="24"/>
        </w:rPr>
        <w:tab/>
        <w:t>Psicología</w:t>
      </w:r>
    </w:p>
    <w:p w14:paraId="1CC36DFB" w14:textId="77777777" w:rsidR="005D7C36" w:rsidRDefault="00EB7BB6">
      <w:pPr>
        <w:tabs>
          <w:tab w:val="left" w:pos="2476"/>
        </w:tabs>
        <w:spacing w:before="42" w:line="360" w:lineRule="auto"/>
        <w:ind w:left="23"/>
        <w:rPr>
          <w:sz w:val="24"/>
          <w:szCs w:val="24"/>
        </w:rPr>
      </w:pPr>
      <w:r>
        <w:rPr>
          <w:sz w:val="24"/>
          <w:szCs w:val="24"/>
        </w:rPr>
        <w:t>Universidad:</w:t>
      </w:r>
      <w:r>
        <w:rPr>
          <w:sz w:val="24"/>
          <w:szCs w:val="24"/>
        </w:rPr>
        <w:tab/>
        <w:t>Universidad Peruana de Ciencias Aplicadas (UPC)</w:t>
      </w:r>
    </w:p>
    <w:p w14:paraId="1CC36DFC" w14:textId="77777777" w:rsidR="005D7C36" w:rsidRDefault="00EB7BB6">
      <w:pPr>
        <w:spacing w:before="41" w:line="360" w:lineRule="auto"/>
        <w:ind w:left="23"/>
        <w:rPr>
          <w:sz w:val="24"/>
          <w:szCs w:val="24"/>
        </w:rPr>
      </w:pPr>
      <w:r>
        <w:rPr>
          <w:sz w:val="24"/>
          <w:szCs w:val="24"/>
        </w:rPr>
        <w:t>Código de matrícula:    U202118984</w:t>
      </w:r>
    </w:p>
    <w:p w14:paraId="1CC36DFD" w14:textId="77777777" w:rsidR="005D7C36" w:rsidRDefault="00EB7BB6">
      <w:pPr>
        <w:tabs>
          <w:tab w:val="left" w:pos="2450"/>
        </w:tabs>
        <w:spacing w:before="41" w:line="360" w:lineRule="auto"/>
        <w:ind w:left="23"/>
        <w:rPr>
          <w:sz w:val="24"/>
          <w:szCs w:val="24"/>
        </w:rPr>
      </w:pPr>
      <w:r>
        <w:rPr>
          <w:sz w:val="24"/>
          <w:szCs w:val="24"/>
        </w:rPr>
        <w:t>Docente aval:</w:t>
      </w:r>
      <w:r>
        <w:rPr>
          <w:b/>
          <w:bCs/>
          <w:sz w:val="24"/>
          <w:szCs w:val="24"/>
        </w:rPr>
        <w:tab/>
      </w:r>
      <w:r>
        <w:rPr>
          <w:sz w:val="24"/>
          <w:szCs w:val="24"/>
        </w:rPr>
        <w:t>magíster, . Soledad Álvarez Macchietto</w:t>
      </w:r>
    </w:p>
    <w:p w14:paraId="1CC36DFE" w14:textId="77777777" w:rsidR="005D7C36" w:rsidRDefault="005D7C36">
      <w:pPr>
        <w:pBdr>
          <w:top w:val="nil"/>
          <w:left w:val="nil"/>
          <w:bottom w:val="nil"/>
          <w:right w:val="nil"/>
          <w:between w:val="nil"/>
        </w:pBdr>
        <w:spacing w:before="83" w:line="360" w:lineRule="auto"/>
        <w:rPr>
          <w:color w:val="000000"/>
          <w:sz w:val="24"/>
          <w:szCs w:val="24"/>
        </w:rPr>
      </w:pPr>
    </w:p>
    <w:p w14:paraId="1CC36DFF" w14:textId="77777777" w:rsidR="005D7C36" w:rsidRDefault="00EB7BB6">
      <w:pPr>
        <w:pStyle w:val="Heading3"/>
        <w:spacing w:line="360" w:lineRule="auto"/>
        <w:ind w:hanging="67"/>
      </w:pPr>
      <w:r>
        <w:t xml:space="preserve">  Profesora de los cursos Introducción a la psicología. Procesos psicológicos básicos.</w:t>
      </w:r>
    </w:p>
    <w:p w14:paraId="1CC36E00" w14:textId="77777777" w:rsidR="005D7C36" w:rsidRDefault="00EB7BB6">
      <w:pPr>
        <w:spacing w:line="360" w:lineRule="auto"/>
        <w:ind w:left="89" w:right="2735"/>
        <w:rPr>
          <w:sz w:val="24"/>
          <w:szCs w:val="24"/>
        </w:rPr>
      </w:pPr>
      <w:r>
        <w:rPr>
          <w:sz w:val="24"/>
          <w:szCs w:val="24"/>
        </w:rPr>
        <w:t>Desarrollo humano en la infancia y adolescencia. Desarrollo humano del adulto y adulto mayor.</w:t>
      </w:r>
    </w:p>
    <w:p w14:paraId="1CC36E01" w14:textId="77777777" w:rsidR="005D7C36" w:rsidRDefault="005D7C36">
      <w:pPr>
        <w:spacing w:line="360" w:lineRule="auto"/>
        <w:ind w:left="89" w:right="2735"/>
        <w:rPr>
          <w:sz w:val="24"/>
          <w:szCs w:val="24"/>
        </w:rPr>
      </w:pPr>
    </w:p>
    <w:p w14:paraId="1CC36E02" w14:textId="77777777" w:rsidR="005D7C36" w:rsidRDefault="00EB7BB6">
      <w:pPr>
        <w:pStyle w:val="Title"/>
        <w:spacing w:line="360" w:lineRule="auto"/>
        <w:ind w:left="0"/>
        <w:jc w:val="left"/>
        <w:rPr>
          <w:b w:val="0"/>
          <w:bCs w:val="0"/>
          <w:sz w:val="24"/>
          <w:szCs w:val="24"/>
        </w:rPr>
        <w:sectPr w:rsidR="005D7C36">
          <w:pgSz w:w="11920" w:h="16840"/>
          <w:pgMar w:top="1940" w:right="1417" w:bottom="280" w:left="1417" w:header="360" w:footer="360" w:gutter="0"/>
          <w:pgNumType w:start="1"/>
          <w:cols w:space="720"/>
        </w:sectPr>
      </w:pPr>
      <w:r>
        <w:rPr>
          <w:b w:val="0"/>
          <w:bCs w:val="0"/>
          <w:sz w:val="24"/>
          <w:szCs w:val="24"/>
        </w:rPr>
        <w:t xml:space="preserve"> Año: 2025</w:t>
      </w:r>
    </w:p>
    <w:p w14:paraId="1CC36E03" w14:textId="77777777" w:rsidR="005D7C36" w:rsidRDefault="00EB7BB6">
      <w:pPr>
        <w:pStyle w:val="Heading1"/>
        <w:spacing w:line="360" w:lineRule="auto"/>
        <w:ind w:firstLine="0"/>
        <w:rPr>
          <w:b w:val="0"/>
          <w:bCs w:val="0"/>
        </w:rPr>
      </w:pPr>
      <w:bookmarkStart w:id="1" w:name="_cg14stvy4baw" w:colFirst="0" w:colLast="0"/>
      <w:bookmarkEnd w:id="1"/>
      <w:r>
        <w:rPr>
          <w:b w:val="0"/>
          <w:bCs w:val="0"/>
        </w:rPr>
        <w:lastRenderedPageBreak/>
        <w:t>Resumen</w:t>
      </w:r>
    </w:p>
    <w:p w14:paraId="1CC36E04" w14:textId="77777777" w:rsidR="005D7C36" w:rsidRDefault="005D7C36">
      <w:pPr>
        <w:pBdr>
          <w:top w:val="nil"/>
          <w:left w:val="nil"/>
          <w:bottom w:val="nil"/>
          <w:right w:val="nil"/>
          <w:between w:val="nil"/>
        </w:pBdr>
        <w:spacing w:before="90" w:line="360" w:lineRule="auto"/>
        <w:rPr>
          <w:b/>
          <w:bCs/>
          <w:color w:val="000000"/>
          <w:sz w:val="24"/>
          <w:szCs w:val="24"/>
        </w:rPr>
      </w:pPr>
    </w:p>
    <w:p w14:paraId="1CC36E05"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La sordoceguera es una condición única que combina la pérdida parcial o total de la vista y la audición, generando desafíos significativos en la comunicación, la movilidad y la interacción social. Este ensayo analiza la sordoceguera desde una perspectiva psicológica y humanista, enfatizando la importancia del reconocimiento, la inclusión y el desarrollo de estrategias comunicativas adaptadas, como el sistema dactilológico, el método Tadoma y la lengua de señas táctil. A partir de investigaciones recientes (</w:t>
      </w:r>
      <w:r>
        <w:rPr>
          <w:color w:val="000000"/>
          <w:sz w:val="24"/>
          <w:szCs w:val="24"/>
        </w:rPr>
        <w:t>Bruce, 2017; Dammeyer &amp; Ask Larsen, 2016; Reed, 1985), se reflexiona sobre el papel de la empatía, la resiliencia y el acompañamiento profesional en el bienestar emocional de las personas sordociegas. Desde la vivencia personal de la ceguera, se propone una mirada sensible que reconoce que la percepción va más allá de los sentidos, abarcando la conexión humana y el agradecimiento hacia la vida, como plantea Seligman (2018) desde la psicología positiva. En conjunto, el texto invita a repensar la discapacidad</w:t>
      </w:r>
      <w:r>
        <w:rPr>
          <w:color w:val="000000"/>
          <w:sz w:val="24"/>
          <w:szCs w:val="24"/>
        </w:rPr>
        <w:t xml:space="preserve"> no como una limitación, sino como una forma diversa y valiosa de experimentar el mundo.</w:t>
      </w:r>
    </w:p>
    <w:p w14:paraId="1CC36E06" w14:textId="77777777" w:rsidR="005D7C36" w:rsidRDefault="005D7C36">
      <w:pPr>
        <w:pBdr>
          <w:top w:val="nil"/>
          <w:left w:val="nil"/>
          <w:bottom w:val="nil"/>
          <w:right w:val="nil"/>
          <w:between w:val="nil"/>
        </w:pBdr>
        <w:spacing w:before="38" w:line="360" w:lineRule="auto"/>
        <w:rPr>
          <w:color w:val="000000"/>
          <w:sz w:val="24"/>
          <w:szCs w:val="24"/>
        </w:rPr>
      </w:pPr>
    </w:p>
    <w:p w14:paraId="1CC36E07" w14:textId="77777777" w:rsidR="005D7C36" w:rsidRDefault="00EB7BB6">
      <w:pPr>
        <w:pStyle w:val="Heading1"/>
        <w:tabs>
          <w:tab w:val="left" w:pos="741"/>
        </w:tabs>
        <w:ind w:left="0" w:firstLine="0"/>
        <w:rPr>
          <w:b w:val="0"/>
          <w:bCs w:val="0"/>
        </w:rPr>
      </w:pPr>
      <w:r>
        <w:rPr>
          <w:b w:val="0"/>
          <w:bCs w:val="0"/>
        </w:rPr>
        <w:t>1. Introducción</w:t>
      </w:r>
    </w:p>
    <w:p w14:paraId="1CC36E08" w14:textId="77777777" w:rsidR="005D7C36" w:rsidRDefault="005D7C36">
      <w:pPr>
        <w:pBdr>
          <w:top w:val="nil"/>
          <w:left w:val="nil"/>
          <w:bottom w:val="nil"/>
          <w:right w:val="nil"/>
          <w:between w:val="nil"/>
        </w:pBdr>
        <w:spacing w:before="17" w:line="360" w:lineRule="auto"/>
        <w:rPr>
          <w:b/>
          <w:bCs/>
          <w:color w:val="000000"/>
          <w:sz w:val="24"/>
          <w:szCs w:val="24"/>
        </w:rPr>
      </w:pPr>
    </w:p>
    <w:p w14:paraId="1CC36E09" w14:textId="77777777" w:rsidR="005D7C36" w:rsidRDefault="00EB7BB6">
      <w:pPr>
        <w:pBdr>
          <w:top w:val="nil"/>
          <w:left w:val="nil"/>
          <w:bottom w:val="nil"/>
          <w:right w:val="nil"/>
          <w:between w:val="nil"/>
        </w:pBdr>
        <w:spacing w:line="360" w:lineRule="auto"/>
        <w:ind w:left="23" w:right="35"/>
        <w:rPr>
          <w:color w:val="000000"/>
          <w:sz w:val="24"/>
          <w:szCs w:val="24"/>
        </w:rPr>
      </w:pPr>
      <w:r>
        <w:rPr>
          <w:color w:val="000000"/>
          <w:sz w:val="24"/>
          <w:szCs w:val="24"/>
        </w:rPr>
        <w:t>Como futura psicóloga y como persona ciega, siento una conexión profunda con quienes viven la experiencia de la sordoceguera. Comprender cómo perciben, comunican y construyen su mundo me inspira no solo desde la formación profesional, sino también desde la sensibilidad humana. La sordoceguera no es simplemente la suma de la pérdida visual y auditiva; es una forma distinta de experimentar la realidad, un lenguaje propio que se expresa a través del tacto, la intuición y el vínculo con el otro (Sense Internati</w:t>
      </w:r>
      <w:r>
        <w:rPr>
          <w:color w:val="000000"/>
          <w:sz w:val="24"/>
          <w:szCs w:val="24"/>
        </w:rPr>
        <w:t>onal, 2023a).</w:t>
      </w:r>
    </w:p>
    <w:p w14:paraId="1CC36E0A" w14:textId="77777777" w:rsidR="005D7C36" w:rsidRDefault="00EB7BB6">
      <w:pPr>
        <w:pBdr>
          <w:top w:val="nil"/>
          <w:left w:val="nil"/>
          <w:bottom w:val="nil"/>
          <w:right w:val="nil"/>
          <w:between w:val="nil"/>
        </w:pBdr>
        <w:spacing w:line="360" w:lineRule="auto"/>
        <w:ind w:left="23"/>
        <w:rPr>
          <w:color w:val="000000"/>
          <w:sz w:val="24"/>
          <w:szCs w:val="24"/>
        </w:rPr>
      </w:pPr>
      <w:r>
        <w:rPr>
          <w:color w:val="000000"/>
          <w:sz w:val="24"/>
          <w:szCs w:val="24"/>
        </w:rPr>
        <w:t>En el Perú, la Ley N.º 29524 reconoce la sordoceguera como una discapacidad única, lo que implica que requiere estrategias de apoyo y acompañamiento específicas para garantizar la autonomía y la participación plena en la sociedad (Congreso de la República, s.f.). Sin embargo, más allá de los marcos legales, las personas sordociegas enfrentan barreras sociales y emocionales que muchas veces nacen de la incomprensión. Desde la psicología, abordar esta realidad implica mirar más allá del déficit, y centrarse e</w:t>
      </w:r>
      <w:r>
        <w:rPr>
          <w:color w:val="000000"/>
          <w:sz w:val="24"/>
          <w:szCs w:val="24"/>
        </w:rPr>
        <w:t xml:space="preserve">n la riqueza interna, la resiliencia y la fuerza emocional de quienes viven entre el silencio y la oscuridad. En este contexto, el rol del guía intérprete adquiere un valor fundamental. Su labor va más allá de traducir </w:t>
      </w:r>
      <w:r>
        <w:rPr>
          <w:color w:val="000000"/>
          <w:sz w:val="24"/>
          <w:szCs w:val="24"/>
        </w:rPr>
        <w:lastRenderedPageBreak/>
        <w:t>información: representa un canal de conexión humana, emocional y cognitiva, que permite a las personas sordociegas comunicarse, aprender y sentirse parte activa del entorno (Sense International, 2023b). Entender esta relación desde una mirada psicológica es reconocer que la comunicación no so</w:t>
      </w:r>
      <w:r>
        <w:rPr>
          <w:color w:val="000000"/>
          <w:sz w:val="24"/>
          <w:szCs w:val="24"/>
        </w:rPr>
        <w:t>lo ocurre con palabras o sonidos, sino también a través del contacto, la empatía y la presencia.</w:t>
      </w:r>
    </w:p>
    <w:p w14:paraId="1CC36E0B"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Este ensayo busca reflexionar sobre la sordoceguera como una manifestación de la esencia humana, explorando el papel del guía intérprete desde la psicología y la sensibilidad personal. A través de este análisis, se pretende visibilizar una realidad que enseña, más que ninguna otra, que la verdadera comunicación nace del alma, y que la oscuridad y el silencio pueden ser también espacios donde florece la comprensión y la ternura.</w:t>
      </w:r>
    </w:p>
    <w:p w14:paraId="1CC36E0C" w14:textId="77777777" w:rsidR="005D7C36" w:rsidRDefault="005D7C36">
      <w:pPr>
        <w:pBdr>
          <w:top w:val="nil"/>
          <w:left w:val="nil"/>
          <w:bottom w:val="nil"/>
          <w:right w:val="nil"/>
          <w:between w:val="nil"/>
        </w:pBdr>
        <w:spacing w:line="360" w:lineRule="auto"/>
        <w:rPr>
          <w:color w:val="000000"/>
          <w:sz w:val="24"/>
          <w:szCs w:val="24"/>
        </w:rPr>
      </w:pPr>
    </w:p>
    <w:p w14:paraId="1CC36E0D" w14:textId="77777777" w:rsidR="005D7C36" w:rsidRDefault="005D7C36">
      <w:pPr>
        <w:pBdr>
          <w:top w:val="nil"/>
          <w:left w:val="nil"/>
          <w:bottom w:val="nil"/>
          <w:right w:val="nil"/>
          <w:between w:val="nil"/>
        </w:pBdr>
        <w:spacing w:before="75" w:line="360" w:lineRule="auto"/>
        <w:rPr>
          <w:color w:val="000000"/>
          <w:sz w:val="24"/>
          <w:szCs w:val="24"/>
        </w:rPr>
      </w:pPr>
    </w:p>
    <w:p w14:paraId="1CC36E0E" w14:textId="77777777" w:rsidR="005D7C36" w:rsidRDefault="00EB7BB6">
      <w:pPr>
        <w:pStyle w:val="Heading1"/>
        <w:rPr>
          <w:b w:val="0"/>
          <w:bCs w:val="0"/>
        </w:rPr>
      </w:pPr>
      <w:r>
        <w:rPr>
          <w:b w:val="0"/>
          <w:bCs w:val="0"/>
        </w:rPr>
        <w:t>2. Desarrollo</w:t>
      </w:r>
    </w:p>
    <w:p w14:paraId="1CC36E0F" w14:textId="77777777" w:rsidR="005D7C36" w:rsidRDefault="005D7C36"/>
    <w:p w14:paraId="1CC36E10" w14:textId="77777777" w:rsidR="005D7C36" w:rsidRDefault="00EB7BB6">
      <w:pPr>
        <w:pStyle w:val="Heading2"/>
        <w:spacing w:before="17" w:line="360" w:lineRule="auto"/>
        <w:rPr>
          <w:b w:val="0"/>
          <w:bCs w:val="0"/>
          <w:sz w:val="24"/>
          <w:szCs w:val="24"/>
        </w:rPr>
      </w:pPr>
      <w:bookmarkStart w:id="2" w:name="_8vveadnl410v" w:colFirst="0" w:colLast="0"/>
      <w:bookmarkEnd w:id="2"/>
      <w:r>
        <w:rPr>
          <w:b w:val="0"/>
          <w:bCs w:val="0"/>
          <w:sz w:val="24"/>
          <w:szCs w:val="24"/>
        </w:rPr>
        <w:t xml:space="preserve">2.1 </w:t>
      </w:r>
      <w:r>
        <w:rPr>
          <w:b w:val="0"/>
          <w:bCs w:val="0"/>
          <w:sz w:val="24"/>
          <w:szCs w:val="24"/>
        </w:rPr>
        <w:t>Comprender la sordoceguera como una condición única y compleja</w:t>
      </w:r>
    </w:p>
    <w:p w14:paraId="1CC36E11" w14:textId="77777777" w:rsidR="005D7C36" w:rsidRDefault="005D7C36">
      <w:pPr>
        <w:pBdr>
          <w:top w:val="nil"/>
          <w:left w:val="nil"/>
          <w:bottom w:val="nil"/>
          <w:right w:val="nil"/>
          <w:between w:val="nil"/>
        </w:pBdr>
        <w:spacing w:before="82" w:line="360" w:lineRule="auto"/>
        <w:rPr>
          <w:b/>
          <w:bCs/>
          <w:color w:val="000000"/>
          <w:sz w:val="24"/>
          <w:szCs w:val="24"/>
        </w:rPr>
      </w:pPr>
    </w:p>
    <w:p w14:paraId="1CC36E12" w14:textId="77777777" w:rsidR="005D7C36" w:rsidRDefault="00EB7BB6">
      <w:pPr>
        <w:pBdr>
          <w:top w:val="nil"/>
          <w:left w:val="nil"/>
          <w:bottom w:val="nil"/>
          <w:right w:val="nil"/>
          <w:between w:val="nil"/>
        </w:pBdr>
        <w:spacing w:before="1" w:line="360" w:lineRule="auto"/>
        <w:ind w:left="23" w:right="35"/>
        <w:rPr>
          <w:color w:val="000000"/>
          <w:sz w:val="24"/>
          <w:szCs w:val="24"/>
        </w:rPr>
      </w:pPr>
      <w:r>
        <w:rPr>
          <w:color w:val="000000"/>
          <w:sz w:val="24"/>
          <w:szCs w:val="24"/>
        </w:rPr>
        <w:t>La sordoceguera debe entenderse como una condición sensorial dual que no es simplemente la suma de ceguera y sordera, sino una forma singular de experimentar el mundo que impone desafíos específicos en la comunicación, la movilidad y el acceso a la información (Congreso de la República, s.f.; WFDB, 2023). Este carácter único exige marcos de atención, políticas y prácticas educativas diseñadas específicamente para sus necesidades comunicativas y de inclusión (Sense International Perú, 2017; International Dis</w:t>
      </w:r>
      <w:r>
        <w:rPr>
          <w:color w:val="000000"/>
          <w:sz w:val="24"/>
          <w:szCs w:val="24"/>
        </w:rPr>
        <w:t>ability Alliance, 2018).</w:t>
      </w:r>
    </w:p>
    <w:p w14:paraId="1CC36E13"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Desde la perspectiva psicológica y neurocognitiva, las personas con sordoceguera desarrollan estrategias perceptivas alternativas: el tacto, la memoria corporal y las rutinas sensoriales se convierten en vías centrales para captar el entorno y regular la interacción social (Reed, 1985; Reed, 1989; Papazafiri et al., 2021). Las investigaciones clásicas sobre el método Tadoma muestran que, con práctica, la recepción del habla por vía táctil puede ser sorprendentemente eficaz, lo que confirma la plasticidad se</w:t>
      </w:r>
      <w:r>
        <w:rPr>
          <w:color w:val="000000"/>
          <w:sz w:val="24"/>
          <w:szCs w:val="24"/>
        </w:rPr>
        <w:t>nsorial y la capacidad de readaptación del procesamiento comunicativo (Reed, 1985; Jung et al., 2024).</w:t>
      </w:r>
    </w:p>
    <w:p w14:paraId="1CC36E14" w14:textId="77777777" w:rsidR="005D7C36" w:rsidRDefault="00EB7BB6">
      <w:pPr>
        <w:pBdr>
          <w:top w:val="nil"/>
          <w:left w:val="nil"/>
          <w:bottom w:val="nil"/>
          <w:right w:val="nil"/>
          <w:between w:val="nil"/>
        </w:pBdr>
        <w:spacing w:line="360" w:lineRule="auto"/>
        <w:ind w:left="23" w:right="38"/>
        <w:rPr>
          <w:color w:val="000000"/>
          <w:sz w:val="24"/>
          <w:szCs w:val="24"/>
        </w:rPr>
      </w:pPr>
      <w:r>
        <w:rPr>
          <w:color w:val="000000"/>
          <w:sz w:val="24"/>
          <w:szCs w:val="24"/>
        </w:rPr>
        <w:t xml:space="preserve">La literatura contemporánea sobre deafblindness subraya además la heterogeneidad del colectivo: la experiencia varía según la etiología, la edad de inicio, el grado de pérdida sensorial, la educación recibida y las preferencias </w:t>
      </w:r>
      <w:r>
        <w:rPr>
          <w:color w:val="000000"/>
          <w:sz w:val="24"/>
          <w:szCs w:val="24"/>
        </w:rPr>
        <w:lastRenderedPageBreak/>
        <w:t>comunicativas (Rönnberg, 2001; KCC/Vocational Rehabilitation, 2019). Esa diversidad implica que las intervenciones deben ser individualizadas y culturalmente sensibles; un modelo único de atención rara vez cubre la complejidad real de las vidas sordociegas (Dean et al., 2017; Wolsey et al., 2017).</w:t>
      </w:r>
    </w:p>
    <w:p w14:paraId="1CC36E15"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A nivel psicosocial, los estudios reportan que la sordoceguera incrementa el riesgo de aislamiento, soledad y problemas de salud mental cuando no existen apoyos especializados (Dean et al., 2017; Kumar et al., 2024). Sin embargo, al mismo tiempo, la investigación documenta factores de resiliencia: redes familiares, formación de comunicadores expertos (guías intérpretes), y programas de inclusión socioeducativa que fomentan autonomía y calidad de vida (Sense International Perú, 2017; WFDB, 2023). En Perú, in</w:t>
      </w:r>
      <w:r>
        <w:rPr>
          <w:color w:val="000000"/>
          <w:sz w:val="24"/>
          <w:szCs w:val="24"/>
        </w:rPr>
        <w:t>formes de organizaciones especializadas han puesto de relieve que la falta de registros y la invisibilización estadística dificultan la formulación de políticas eficaces, lo cual refuerza la necesidad de investigación y acción pública sostenida (Sense International Perú, 2017; International Disability Alliance, 2018).</w:t>
      </w:r>
    </w:p>
    <w:p w14:paraId="1CC36E16" w14:textId="77777777" w:rsidR="005D7C36" w:rsidRDefault="00EB7BB6">
      <w:pPr>
        <w:pBdr>
          <w:top w:val="nil"/>
          <w:left w:val="nil"/>
          <w:bottom w:val="nil"/>
          <w:right w:val="nil"/>
          <w:between w:val="nil"/>
        </w:pBdr>
        <w:spacing w:line="360" w:lineRule="auto"/>
        <w:ind w:left="23" w:right="37"/>
        <w:rPr>
          <w:sz w:val="24"/>
          <w:szCs w:val="24"/>
        </w:rPr>
      </w:pPr>
      <w:r>
        <w:rPr>
          <w:color w:val="000000"/>
          <w:sz w:val="24"/>
          <w:szCs w:val="24"/>
        </w:rPr>
        <w:t xml:space="preserve">La dimensión lingüística y comunicativa también merece atención: además del Tadoma, existen sistemas táctiles y lenguajes manuales adaptados (tactile sign language, dactilología táctil, códigos adaptados) que muestran estructuras propias y requieren investigación descriptiva y normativa (Papazafiri et al., 2021; Gabarró-López &amp; Mesch, 2020). Estudios recientes sobre interpretación táctil y divulgación de información ambiental indican que la calidad de la comunicación depende tanto de la competencia técnica </w:t>
      </w:r>
      <w:r>
        <w:rPr>
          <w:color w:val="000000"/>
          <w:sz w:val="24"/>
          <w:szCs w:val="24"/>
        </w:rPr>
        <w:t xml:space="preserve">del intérprete/guía como del reconocimiento del derecho comunicativo de la persona sordociega (Gabarró-López &amp; Mesch, 2020; SAGE qualitative work, 2024). </w:t>
      </w:r>
    </w:p>
    <w:p w14:paraId="1CC36E17" w14:textId="77777777" w:rsidR="005D7C36" w:rsidRDefault="00EB7BB6">
      <w:pPr>
        <w:pBdr>
          <w:top w:val="nil"/>
          <w:left w:val="nil"/>
          <w:bottom w:val="nil"/>
          <w:right w:val="nil"/>
          <w:between w:val="nil"/>
        </w:pBdr>
        <w:spacing w:line="360" w:lineRule="auto"/>
        <w:ind w:left="23" w:right="37"/>
        <w:rPr>
          <w:color w:val="000000"/>
          <w:sz w:val="24"/>
          <w:szCs w:val="24"/>
        </w:rPr>
      </w:pPr>
      <w:r>
        <w:rPr>
          <w:color w:val="000000"/>
          <w:sz w:val="24"/>
          <w:szCs w:val="24"/>
        </w:rPr>
        <w:t>Finalmente, entender la sordoceguera desde la Psicología implica un giro metodológico: pasar de evaluar déficits a mapear recursos, estrategias de adaptación y los procesos de construcción identitaria en contextos de discapacidad sensorial múltiple. Esa mirada permite diseñar intervenciones centradas en la persona que fortalezcan el vínculo social, la salud mental y la participación plena (Dean et al., 2017; Arcous, 2024).</w:t>
      </w:r>
    </w:p>
    <w:p w14:paraId="1CC36E18" w14:textId="77777777" w:rsidR="005D7C36" w:rsidRDefault="005D7C36">
      <w:pPr>
        <w:pBdr>
          <w:top w:val="nil"/>
          <w:left w:val="nil"/>
          <w:bottom w:val="nil"/>
          <w:right w:val="nil"/>
          <w:between w:val="nil"/>
        </w:pBdr>
        <w:spacing w:before="37" w:line="360" w:lineRule="auto"/>
        <w:rPr>
          <w:color w:val="000000"/>
          <w:sz w:val="24"/>
          <w:szCs w:val="24"/>
        </w:rPr>
      </w:pPr>
    </w:p>
    <w:p w14:paraId="1CC36E19" w14:textId="77777777" w:rsidR="005D7C36" w:rsidRDefault="00EB7BB6">
      <w:pPr>
        <w:pStyle w:val="Heading2"/>
        <w:tabs>
          <w:tab w:val="left" w:pos="741"/>
        </w:tabs>
        <w:rPr>
          <w:b w:val="0"/>
          <w:bCs w:val="0"/>
        </w:rPr>
      </w:pPr>
      <w:r>
        <w:rPr>
          <w:b w:val="0"/>
          <w:bCs w:val="0"/>
        </w:rPr>
        <w:t>2.2 Los desafíos y las barreras cotidianas</w:t>
      </w:r>
    </w:p>
    <w:p w14:paraId="1CC36E1A" w14:textId="77777777" w:rsidR="005D7C36" w:rsidRDefault="005D7C36">
      <w:pPr>
        <w:pBdr>
          <w:top w:val="nil"/>
          <w:left w:val="nil"/>
          <w:bottom w:val="nil"/>
          <w:right w:val="nil"/>
          <w:between w:val="nil"/>
        </w:pBdr>
        <w:spacing w:before="89" w:line="360" w:lineRule="auto"/>
        <w:rPr>
          <w:b/>
          <w:bCs/>
          <w:color w:val="000000"/>
          <w:sz w:val="24"/>
          <w:szCs w:val="24"/>
        </w:rPr>
      </w:pPr>
    </w:p>
    <w:p w14:paraId="1CC36E1B"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 xml:space="preserve">Vivir con sordoceguera implica habitar un mundo donde la comunicación, la movilidad y la interacción social se configuran de maneras completamente distintas. </w:t>
      </w:r>
      <w:r>
        <w:rPr>
          <w:color w:val="000000"/>
          <w:sz w:val="24"/>
          <w:szCs w:val="24"/>
        </w:rPr>
        <w:lastRenderedPageBreak/>
        <w:t>Sin embargo, más que las limitaciones sensoriales, las mayores barreras suelen encontrarse en la falta de conocimiento, comprensión y adaptación del entorno social (World Federation of the Deafblind, 2018). Las personas con sordoceguera enfrentan desafíos que trascienden lo físico; se enfrentan a una sociedad que muchas veces no las ve ni las escucha.</w:t>
      </w:r>
    </w:p>
    <w:p w14:paraId="1CC36E1C" w14:textId="77777777" w:rsidR="005D7C36" w:rsidRDefault="00EB7BB6">
      <w:pPr>
        <w:pBdr>
          <w:top w:val="nil"/>
          <w:left w:val="nil"/>
          <w:bottom w:val="nil"/>
          <w:right w:val="nil"/>
          <w:between w:val="nil"/>
        </w:pBdr>
        <w:spacing w:line="360" w:lineRule="auto"/>
        <w:ind w:left="23" w:right="35"/>
        <w:rPr>
          <w:color w:val="000000"/>
          <w:sz w:val="24"/>
          <w:szCs w:val="24"/>
        </w:rPr>
      </w:pPr>
      <w:r>
        <w:rPr>
          <w:color w:val="000000"/>
          <w:sz w:val="24"/>
          <w:szCs w:val="24"/>
        </w:rPr>
        <w:t>Entre los obstáculos más significativos se encuentran las dificultades de comunicación, el acceso limitado a la información y la falta de accesibilidad en los espacios públicos y educativos. La Organización Mundial de la Salud (2021) resalta que las barreras actitudinales —como la discriminación, la infantilización y la sobreprotección— son incluso más limitantes que las propias discapacidades sensoriales. Estas actitudes restringen la autonomía, el empleo y la participación plena en la comunidad.</w:t>
      </w:r>
    </w:p>
    <w:p w14:paraId="1CC36E1D"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 xml:space="preserve">En el contexto latinoamericano, diversos estudios han evidenciado que la falta de políticas públicas efectivas y de profesionales capacitados profundiza la exclusión social. Según el Informe Mundial sobre Discapacidad (Organización Mundial de la Salud &amp; Banco Mundial, 2011), el acceso a servicios especializados para personas sordociegas es escaso, especialmente en países en desarrollo, donde el desconocimiento de esta condición limita el diseño de estrategias inclusivas. En el Perú, por ejemplo, la Ley N.° </w:t>
      </w:r>
      <w:r>
        <w:rPr>
          <w:color w:val="000000"/>
          <w:sz w:val="24"/>
          <w:szCs w:val="24"/>
        </w:rPr>
        <w:t>29524 reconoce la sordoceguera como una discapacidad única, pero su aplicación aún enfrenta deficiencias estructurales, sobre todo en la formación de guías intérpretes y en la accesibilidad comunicativa en entornos educativos y laborales.</w:t>
      </w:r>
    </w:p>
    <w:p w14:paraId="1CC36E1E" w14:textId="77777777" w:rsidR="005D7C36" w:rsidRDefault="00EB7BB6">
      <w:pPr>
        <w:pBdr>
          <w:top w:val="nil"/>
          <w:left w:val="nil"/>
          <w:bottom w:val="nil"/>
          <w:right w:val="nil"/>
          <w:between w:val="nil"/>
        </w:pBdr>
        <w:spacing w:line="360" w:lineRule="auto"/>
        <w:ind w:left="23" w:right="41"/>
        <w:rPr>
          <w:color w:val="000000"/>
          <w:sz w:val="24"/>
          <w:szCs w:val="24"/>
        </w:rPr>
      </w:pPr>
      <w:r>
        <w:rPr>
          <w:color w:val="000000"/>
          <w:sz w:val="24"/>
          <w:szCs w:val="24"/>
        </w:rPr>
        <w:t>A nivel psicológico, la falta de interacción social puede generar sentimientos de aislamiento, ansiedad y baja autoestima (Dammeyer &amp; Ask Larsen, 2016). Sin embargo, diversos autores subrayan que estos efectos no son inherentes a la sordoceguera, sino consecuencia del aislamiento impuesto por un entorno que no comprende ni facilita la comunicación (Bruce, 2017). La exclusión, más que la discapacidad, es la que limita el desarrollo emocional y social.</w:t>
      </w:r>
    </w:p>
    <w:p w14:paraId="1CC36E1F" w14:textId="77777777" w:rsidR="005D7C36" w:rsidRDefault="00EB7BB6">
      <w:pPr>
        <w:pBdr>
          <w:top w:val="nil"/>
          <w:left w:val="nil"/>
          <w:bottom w:val="nil"/>
          <w:right w:val="nil"/>
          <w:between w:val="nil"/>
        </w:pBdr>
        <w:spacing w:line="360" w:lineRule="auto"/>
        <w:ind w:left="23" w:right="39"/>
        <w:rPr>
          <w:color w:val="000000"/>
          <w:sz w:val="24"/>
          <w:szCs w:val="24"/>
        </w:rPr>
      </w:pPr>
      <w:r>
        <w:rPr>
          <w:color w:val="000000"/>
          <w:sz w:val="24"/>
          <w:szCs w:val="24"/>
        </w:rPr>
        <w:t>Por otra parte, la accesibilidad física sigue siendo un reto. La falta de señalización táctil, materiales accesibles o infraestructura adaptada impide que muchas personas sordociegas se desplacen con independencia (Deafblind International, 2020). Esto impacta directamente en su salud mental y bienestar emocional, ya que la autonomía es un elemento esencial para la autoestima y el sentido de identidad (Dammeyer &amp; Ask Larsen, 2016).</w:t>
      </w:r>
    </w:p>
    <w:p w14:paraId="1CC36E20" w14:textId="77777777" w:rsidR="005D7C36" w:rsidRDefault="00EB7BB6">
      <w:pPr>
        <w:pBdr>
          <w:top w:val="nil"/>
          <w:left w:val="nil"/>
          <w:bottom w:val="nil"/>
          <w:right w:val="nil"/>
          <w:between w:val="nil"/>
        </w:pBdr>
        <w:spacing w:line="360" w:lineRule="auto"/>
        <w:ind w:left="23" w:right="35"/>
        <w:rPr>
          <w:sz w:val="24"/>
          <w:szCs w:val="24"/>
        </w:rPr>
      </w:pPr>
      <w:r>
        <w:rPr>
          <w:color w:val="000000"/>
          <w:sz w:val="24"/>
          <w:szCs w:val="24"/>
        </w:rPr>
        <w:t xml:space="preserve">Finalmente, la barrera más profunda es la invisibilidad social. La mayoría de las </w:t>
      </w:r>
      <w:r>
        <w:rPr>
          <w:color w:val="000000"/>
          <w:sz w:val="24"/>
          <w:szCs w:val="24"/>
        </w:rPr>
        <w:lastRenderedPageBreak/>
        <w:t xml:space="preserve">personas sordociegas viven en silencio dentro del silencio: no porque no puedan comunicarse, sino porque el entorno no ha aprendido a escucharlas de otras maneras. Como señala Miles (2019), la sordoceguera no solo debe entenderse como una condición sensorial, sino como una experiencia humana compleja que nos invita a redefinir la empatía y la conexión desde otras formas de percepción. </w:t>
      </w:r>
    </w:p>
    <w:p w14:paraId="1CC36E21" w14:textId="77777777" w:rsidR="005D7C36" w:rsidRDefault="005D7C36">
      <w:pPr>
        <w:pBdr>
          <w:top w:val="nil"/>
          <w:left w:val="nil"/>
          <w:bottom w:val="nil"/>
          <w:right w:val="nil"/>
          <w:between w:val="nil"/>
        </w:pBdr>
        <w:spacing w:line="360" w:lineRule="auto"/>
        <w:ind w:left="23" w:right="35"/>
        <w:rPr>
          <w:sz w:val="24"/>
          <w:szCs w:val="24"/>
        </w:rPr>
      </w:pPr>
    </w:p>
    <w:p w14:paraId="1CC36E22" w14:textId="77777777" w:rsidR="005D7C36" w:rsidRDefault="00EB7BB6">
      <w:pPr>
        <w:pStyle w:val="Heading1"/>
        <w:tabs>
          <w:tab w:val="left" w:pos="741"/>
        </w:tabs>
        <w:spacing w:line="360" w:lineRule="auto"/>
        <w:ind w:left="289" w:firstLine="0"/>
        <w:rPr>
          <w:b w:val="0"/>
          <w:bCs w:val="0"/>
        </w:rPr>
      </w:pPr>
      <w:bookmarkStart w:id="3" w:name="_uuu11lf7rrua" w:colFirst="0" w:colLast="0"/>
      <w:bookmarkEnd w:id="3"/>
      <w:r>
        <w:rPr>
          <w:b w:val="0"/>
          <w:bCs w:val="0"/>
        </w:rPr>
        <w:t>3. La creatividad y profundidad de las formas de comunicación</w:t>
      </w:r>
    </w:p>
    <w:p w14:paraId="1CC36E23" w14:textId="77777777" w:rsidR="005D7C36" w:rsidRDefault="005D7C36">
      <w:pPr>
        <w:pBdr>
          <w:top w:val="nil"/>
          <w:left w:val="nil"/>
          <w:bottom w:val="nil"/>
          <w:right w:val="nil"/>
          <w:between w:val="nil"/>
        </w:pBdr>
        <w:spacing w:before="90" w:line="360" w:lineRule="auto"/>
        <w:rPr>
          <w:b/>
          <w:bCs/>
          <w:color w:val="000000"/>
          <w:sz w:val="24"/>
          <w:szCs w:val="24"/>
        </w:rPr>
      </w:pPr>
    </w:p>
    <w:p w14:paraId="1CC36E24" w14:textId="77777777" w:rsidR="005D7C36" w:rsidRDefault="00EB7BB6">
      <w:pPr>
        <w:pBdr>
          <w:top w:val="nil"/>
          <w:left w:val="nil"/>
          <w:bottom w:val="nil"/>
          <w:right w:val="nil"/>
          <w:between w:val="nil"/>
        </w:pBdr>
        <w:spacing w:line="360" w:lineRule="auto"/>
        <w:ind w:left="23" w:right="38"/>
        <w:rPr>
          <w:color w:val="000000"/>
          <w:sz w:val="24"/>
          <w:szCs w:val="24"/>
        </w:rPr>
      </w:pPr>
      <w:r>
        <w:rPr>
          <w:color w:val="000000"/>
          <w:sz w:val="24"/>
          <w:szCs w:val="24"/>
        </w:rPr>
        <w:t>La comunicación es el puente más esencial entre las personas, un medio que no solo transmite información, sino que construye vínculos, emociones e identidad. En la sordoceguera, este puente se redefine. Cuando la vista y el oído se desvanecen, la comunicación se vuelve una experiencia táctil, corporal y profundamente humana.</w:t>
      </w:r>
    </w:p>
    <w:p w14:paraId="1CC36E25" w14:textId="77777777" w:rsidR="005D7C36" w:rsidRDefault="00EB7BB6">
      <w:pPr>
        <w:pBdr>
          <w:top w:val="nil"/>
          <w:left w:val="nil"/>
          <w:bottom w:val="nil"/>
          <w:right w:val="nil"/>
          <w:between w:val="nil"/>
        </w:pBdr>
        <w:spacing w:line="360" w:lineRule="auto"/>
        <w:ind w:left="23" w:right="37"/>
        <w:rPr>
          <w:color w:val="000000"/>
          <w:sz w:val="24"/>
          <w:szCs w:val="24"/>
        </w:rPr>
      </w:pPr>
      <w:r>
        <w:rPr>
          <w:color w:val="000000"/>
          <w:sz w:val="24"/>
          <w:szCs w:val="24"/>
        </w:rPr>
        <w:t>Las personas con sordoceguera desarrollan sistemas comunicativos extraordinarios que demuestran la capacidad del ser humano para adaptarse y crear sentido más allá de los límites sensoriales. Entre los métodos más utilizados se encuentran la dactilología en palma, el sistema Tadoma, el braille, las señas táctiles y los objetos de referencia. Cada uno de estos métodos representa no solo una herramienta funcional, sino una manifestación de ingenio, sensibilidad y conexión afectiva (Deafblind International, 20</w:t>
      </w:r>
      <w:r>
        <w:rPr>
          <w:color w:val="000000"/>
          <w:sz w:val="24"/>
          <w:szCs w:val="24"/>
        </w:rPr>
        <w:t>20).</w:t>
      </w:r>
    </w:p>
    <w:p w14:paraId="1CC36E26"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La dactilología en palma, por ejemplo, consiste en representar las letras del alfabeto manual en la mano de la persona sordociega. Este sistema permite la comunicación fluida con quienes no dominan otros lenguajes táctiles y ofrece un contacto humano directo que refuerza la confianza y la presencia (Rødbroe &amp; Janssen, 2018). A través del tacto, las palabras adquieren temperatura, ritmo y cercanía.</w:t>
      </w:r>
    </w:p>
    <w:p w14:paraId="1CC36E27" w14:textId="77777777" w:rsidR="005D7C36" w:rsidRDefault="00EB7BB6">
      <w:pPr>
        <w:pBdr>
          <w:top w:val="nil"/>
          <w:left w:val="nil"/>
          <w:bottom w:val="nil"/>
          <w:right w:val="nil"/>
          <w:between w:val="nil"/>
        </w:pBdr>
        <w:spacing w:line="360" w:lineRule="auto"/>
        <w:ind w:left="23" w:right="37"/>
        <w:rPr>
          <w:color w:val="000000"/>
          <w:sz w:val="24"/>
          <w:szCs w:val="24"/>
        </w:rPr>
      </w:pPr>
      <w:r>
        <w:rPr>
          <w:color w:val="000000"/>
          <w:sz w:val="24"/>
          <w:szCs w:val="24"/>
        </w:rPr>
        <w:t>Otro método es el sistema Tadoma, donde la persona sordociega coloca sus manos sobre el rostro del hablante para percibir las vibraciones de la voz y los movimientos faciales. Este sistema, descrito por Deafblindness.info (2023), es una de las expresiones más bellas de la comunicación táctil, pues permite “escuchar con las manos” y percibir tanto las palabras como la emoción que las acompaña.</w:t>
      </w:r>
    </w:p>
    <w:p w14:paraId="1CC36E28" w14:textId="77777777" w:rsidR="005D7C36" w:rsidRDefault="00EB7BB6">
      <w:pPr>
        <w:pBdr>
          <w:top w:val="nil"/>
          <w:left w:val="nil"/>
          <w:bottom w:val="nil"/>
          <w:right w:val="nil"/>
          <w:between w:val="nil"/>
        </w:pBdr>
        <w:spacing w:line="360" w:lineRule="auto"/>
        <w:ind w:left="23" w:right="41"/>
        <w:rPr>
          <w:color w:val="000000"/>
          <w:sz w:val="24"/>
          <w:szCs w:val="24"/>
        </w:rPr>
      </w:pPr>
      <w:r>
        <w:rPr>
          <w:color w:val="000000"/>
          <w:sz w:val="24"/>
          <w:szCs w:val="24"/>
        </w:rPr>
        <w:t>El braille continúa siendo un pilar en la educación y la autonomía de las personas con sordoceguera. A través del sentido del tacto, este sistema posibilita la lectura, la escritura y el acceso al conocimiento. De acuerdo con la Organización Mundial de la Salud (2021), el braille es una herramienta clave para el desarrollo cognitivo y emocional, ya que fortalece la autoestima y la independencia personal.</w:t>
      </w:r>
    </w:p>
    <w:p w14:paraId="1CC36E29" w14:textId="77777777" w:rsidR="005D7C36" w:rsidRDefault="00EB7BB6">
      <w:pPr>
        <w:pBdr>
          <w:top w:val="nil"/>
          <w:left w:val="nil"/>
          <w:bottom w:val="nil"/>
          <w:right w:val="nil"/>
          <w:between w:val="nil"/>
        </w:pBdr>
        <w:spacing w:line="360" w:lineRule="auto"/>
        <w:ind w:left="23" w:right="40"/>
        <w:rPr>
          <w:color w:val="000000"/>
          <w:sz w:val="24"/>
          <w:szCs w:val="24"/>
        </w:rPr>
      </w:pPr>
      <w:r>
        <w:rPr>
          <w:color w:val="000000"/>
          <w:sz w:val="24"/>
          <w:szCs w:val="24"/>
        </w:rPr>
        <w:t xml:space="preserve">También existen sistemas más simbólicos, como los objetos de referencia, que </w:t>
      </w:r>
      <w:r>
        <w:rPr>
          <w:color w:val="000000"/>
          <w:sz w:val="24"/>
          <w:szCs w:val="24"/>
        </w:rPr>
        <w:lastRenderedPageBreak/>
        <w:t>asocian un objeto concreto con una actividad o situación específica. Según el Manual de Sordoceguera: Comunicación, Derechos y Rol del Guía-Intérprete (Sense Internacional Perú, 2023), este tipo de comunicación permite anticipar rutinas y promover la autonomía, especialmente en niños o personas con sordoceguera congénita.</w:t>
      </w:r>
    </w:p>
    <w:p w14:paraId="1CC36E2A" w14:textId="77777777" w:rsidR="005D7C36" w:rsidRDefault="00EB7BB6">
      <w:pPr>
        <w:pBdr>
          <w:top w:val="nil"/>
          <w:left w:val="nil"/>
          <w:bottom w:val="nil"/>
          <w:right w:val="nil"/>
          <w:between w:val="nil"/>
        </w:pBdr>
        <w:spacing w:line="360" w:lineRule="auto"/>
        <w:ind w:left="23" w:right="38"/>
        <w:rPr>
          <w:color w:val="000000"/>
          <w:sz w:val="24"/>
          <w:szCs w:val="24"/>
        </w:rPr>
      </w:pPr>
      <w:r>
        <w:rPr>
          <w:color w:val="000000"/>
          <w:sz w:val="24"/>
          <w:szCs w:val="24"/>
        </w:rPr>
        <w:t>Desde la psicología, estas formas de comunicación son valiosas no solo por su función práctica, sino por su impacto emocional. La posibilidad de comunicarse genera identidad, pertenencia y autoestima. Como plantea Dammeyer (2015), la interacción social en la sordoceguera no se limita al intercambio de mensajes, sino que se convierte en un proceso de validación emocional y reconocimiento mutuo. En este sentido, cada sistema de comunicación refleja un acto de resistencia frente al silencio y la oscuridad, una</w:t>
      </w:r>
      <w:r>
        <w:rPr>
          <w:color w:val="000000"/>
          <w:sz w:val="24"/>
          <w:szCs w:val="24"/>
        </w:rPr>
        <w:t xml:space="preserve"> manera de afirmar la presencia y la humanidad del otro.</w:t>
      </w:r>
    </w:p>
    <w:p w14:paraId="1CC36E2B" w14:textId="77777777" w:rsidR="005D7C36" w:rsidRDefault="00EB7BB6">
      <w:pPr>
        <w:pBdr>
          <w:top w:val="nil"/>
          <w:left w:val="nil"/>
          <w:bottom w:val="nil"/>
          <w:right w:val="nil"/>
          <w:between w:val="nil"/>
        </w:pBdr>
        <w:spacing w:line="360" w:lineRule="auto"/>
        <w:ind w:left="23" w:right="44"/>
        <w:rPr>
          <w:color w:val="000000"/>
          <w:sz w:val="24"/>
          <w:szCs w:val="24"/>
        </w:rPr>
      </w:pPr>
      <w:r>
        <w:rPr>
          <w:color w:val="000000"/>
          <w:sz w:val="24"/>
          <w:szCs w:val="24"/>
        </w:rPr>
        <w:t xml:space="preserve">Las personas sordociegas nos muestran que la comunicación no depende de los sentidos convencionales, sino del deseo profundo de conectar. Como afirma Miles (2019), “toda forma de comunicación humana es, en esencia, una expresión del alma buscando ser comprendida”. En ese encuentro táctil, silencioso y sensible, descubrimos la esencia misma de lo que significa ser humano. </w:t>
      </w:r>
    </w:p>
    <w:p w14:paraId="1CC36E2C" w14:textId="77777777" w:rsidR="005D7C36" w:rsidRDefault="005D7C36">
      <w:pPr>
        <w:pBdr>
          <w:top w:val="nil"/>
          <w:left w:val="nil"/>
          <w:bottom w:val="nil"/>
          <w:right w:val="nil"/>
          <w:between w:val="nil"/>
        </w:pBdr>
        <w:spacing w:before="57" w:line="360" w:lineRule="auto"/>
        <w:rPr>
          <w:color w:val="000000"/>
          <w:sz w:val="24"/>
          <w:szCs w:val="24"/>
        </w:rPr>
      </w:pPr>
    </w:p>
    <w:p w14:paraId="1CC36E2D" w14:textId="77777777" w:rsidR="005D7C36" w:rsidRDefault="00EB7BB6">
      <w:pPr>
        <w:pStyle w:val="Heading1"/>
        <w:tabs>
          <w:tab w:val="left" w:pos="741"/>
        </w:tabs>
        <w:spacing w:line="360" w:lineRule="auto"/>
        <w:ind w:left="289" w:firstLine="0"/>
        <w:rPr>
          <w:b w:val="0"/>
          <w:bCs w:val="0"/>
        </w:rPr>
      </w:pPr>
      <w:bookmarkStart w:id="4" w:name="_jy1e92m122c0" w:colFirst="0" w:colLast="0"/>
      <w:bookmarkEnd w:id="4"/>
      <w:r>
        <w:rPr>
          <w:b w:val="0"/>
          <w:bCs w:val="0"/>
        </w:rPr>
        <w:t>4. Mi mirada personal y mi empatía como persona ciega</w:t>
      </w:r>
    </w:p>
    <w:p w14:paraId="1CC36E2E" w14:textId="77777777" w:rsidR="005D7C36" w:rsidRDefault="005D7C36">
      <w:pPr>
        <w:pBdr>
          <w:top w:val="nil"/>
          <w:left w:val="nil"/>
          <w:bottom w:val="nil"/>
          <w:right w:val="nil"/>
          <w:between w:val="nil"/>
        </w:pBdr>
        <w:spacing w:before="90" w:line="360" w:lineRule="auto"/>
        <w:rPr>
          <w:b/>
          <w:bCs/>
          <w:color w:val="000000"/>
          <w:sz w:val="24"/>
          <w:szCs w:val="24"/>
        </w:rPr>
      </w:pPr>
    </w:p>
    <w:p w14:paraId="1CC36E2F"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t>Hablar de la sordoceguera es también hablar de la esencia de la percepción humana. Desde mi experiencia como persona ciega, he aprendido que ver no siempre depende de los ojos, y escuchar no siempre implica oír sonidos. La verdadera percepción nace del alma, del modo en que interpretamos, sentimos y nos conectamos con los demás. En ese sentido, mi encuentro con la realidad de las personas sordociegas no ha sido solo un tema de estudio, sino una experiencia de profunda identificación.</w:t>
      </w:r>
    </w:p>
    <w:p w14:paraId="1CC36E30" w14:textId="77777777" w:rsidR="005D7C36" w:rsidRDefault="00EB7BB6">
      <w:pPr>
        <w:pBdr>
          <w:top w:val="nil"/>
          <w:left w:val="nil"/>
          <w:bottom w:val="nil"/>
          <w:right w:val="nil"/>
          <w:between w:val="nil"/>
        </w:pBdr>
        <w:spacing w:line="360" w:lineRule="auto"/>
        <w:ind w:left="23" w:right="38"/>
        <w:rPr>
          <w:color w:val="000000"/>
          <w:sz w:val="24"/>
          <w:szCs w:val="24"/>
        </w:rPr>
      </w:pPr>
      <w:r>
        <w:rPr>
          <w:color w:val="000000"/>
          <w:sz w:val="24"/>
          <w:szCs w:val="24"/>
        </w:rPr>
        <w:t>La psicología nos enseña que la empatía es un proceso complejo que implica tanto el reconocimiento emocional del otro como la comprensión cognitiva de su experiencia (Decety &amp; Cowell, 2014). Sin embargo, cuando se trata de comprender la sordoceguera, la empatía trasciende la teoría: se convierte en una forma de conexión silenciosa. A través de mi propia vivencia con la ceguera, he podido acercarme a ese silencio que no es vacío, sino un espacio lleno de significado. Como señala Merleau-Ponty (2013), la perc</w:t>
      </w:r>
      <w:r>
        <w:rPr>
          <w:color w:val="000000"/>
          <w:sz w:val="24"/>
          <w:szCs w:val="24"/>
        </w:rPr>
        <w:t>epción es una forma de habitar el mundo, y cada cuerpo encuentra su manera de hacerlo.</w:t>
      </w:r>
    </w:p>
    <w:p w14:paraId="1CC36E31" w14:textId="77777777" w:rsidR="005D7C36" w:rsidRDefault="00EB7BB6">
      <w:pPr>
        <w:pBdr>
          <w:top w:val="nil"/>
          <w:left w:val="nil"/>
          <w:bottom w:val="nil"/>
          <w:right w:val="nil"/>
          <w:between w:val="nil"/>
        </w:pBdr>
        <w:spacing w:line="360" w:lineRule="auto"/>
        <w:ind w:left="23" w:right="36"/>
        <w:rPr>
          <w:color w:val="000000"/>
          <w:sz w:val="24"/>
          <w:szCs w:val="24"/>
        </w:rPr>
      </w:pPr>
      <w:r>
        <w:rPr>
          <w:color w:val="000000"/>
          <w:sz w:val="24"/>
          <w:szCs w:val="24"/>
        </w:rPr>
        <w:lastRenderedPageBreak/>
        <w:t>Las personas con sordoceguera me inspiran porque transforman la adversidad en sensibilidad. Su fortaleza no radica solo en adaptarse, sino en construir su propio lenguaje con el mundo. Esa capacidad de reinventar la comunicación, de hallar belleza en el tacto o en el silencio, revela una espiritualidad profunda y una inteligencia emocional que trasciende lo sensorial (Alvarez, 2021). Desde mi mirada personal, esa fortaleza es una lección constante: nos recuerda que la humanidad se expresa no por lo que tene</w:t>
      </w:r>
      <w:r>
        <w:rPr>
          <w:color w:val="000000"/>
          <w:sz w:val="24"/>
          <w:szCs w:val="24"/>
        </w:rPr>
        <w:t>mos, sino por lo que compartimos.</w:t>
      </w:r>
    </w:p>
    <w:p w14:paraId="1CC36E32" w14:textId="77777777" w:rsidR="005D7C36" w:rsidRDefault="00EB7BB6">
      <w:pPr>
        <w:pBdr>
          <w:top w:val="nil"/>
          <w:left w:val="nil"/>
          <w:bottom w:val="nil"/>
          <w:right w:val="nil"/>
          <w:between w:val="nil"/>
        </w:pBdr>
        <w:spacing w:line="360" w:lineRule="auto"/>
        <w:ind w:left="23" w:right="35"/>
        <w:rPr>
          <w:color w:val="000000"/>
          <w:sz w:val="24"/>
          <w:szCs w:val="24"/>
        </w:rPr>
      </w:pPr>
      <w:r>
        <w:rPr>
          <w:color w:val="000000"/>
          <w:sz w:val="24"/>
          <w:szCs w:val="24"/>
        </w:rPr>
        <w:t>Además, la psicología positiva ha demostrado que la resiliencia en personas con discapacidad sensorial está estrechamente ligada al sentido de propósito y a la conexión afectiva (Seligman, 2018). Comprender esto me ha permitido valorar cómo las personas sordociegas enfrentan la vida con una serenidad que nace del contacto, del gesto, de la confianza. Ellas nos enseñan que la comunicación más pura no siempre pasa por las palabras, sino por la presencia.</w:t>
      </w:r>
    </w:p>
    <w:p w14:paraId="1CC36E33" w14:textId="77777777" w:rsidR="005D7C36" w:rsidRDefault="00EB7BB6">
      <w:pPr>
        <w:pBdr>
          <w:top w:val="nil"/>
          <w:left w:val="nil"/>
          <w:bottom w:val="nil"/>
          <w:right w:val="nil"/>
          <w:between w:val="nil"/>
        </w:pBdr>
        <w:spacing w:line="360" w:lineRule="auto"/>
        <w:ind w:left="23" w:right="42"/>
        <w:rPr>
          <w:color w:val="000000"/>
          <w:sz w:val="24"/>
          <w:szCs w:val="24"/>
        </w:rPr>
      </w:pPr>
      <w:r>
        <w:rPr>
          <w:color w:val="000000"/>
          <w:sz w:val="24"/>
          <w:szCs w:val="24"/>
        </w:rPr>
        <w:t>Mi empatía hacia esta condición no proviene solo de la semejanza, sino del reconocimiento. Comprendo el valor de tocar para conocer, de escuchar con la mente, de sentir con el corazón. En la oscuridad y el silencio, descubrí que la verdadera comunicación ocurre cuando nos atrevemos a mirar con el alma. Esa es, quizás, la enseñanza más humana que la sordoceguera nos ofrece: que incluso cuando los sentidos callan, la conexión sigue viva.</w:t>
      </w:r>
    </w:p>
    <w:p w14:paraId="1CC36E34" w14:textId="77777777" w:rsidR="005D7C36" w:rsidRDefault="005D7C36">
      <w:pPr>
        <w:pBdr>
          <w:top w:val="nil"/>
          <w:left w:val="nil"/>
          <w:bottom w:val="nil"/>
          <w:right w:val="nil"/>
          <w:between w:val="nil"/>
        </w:pBdr>
        <w:spacing w:line="360" w:lineRule="auto"/>
        <w:rPr>
          <w:color w:val="000000"/>
          <w:sz w:val="24"/>
          <w:szCs w:val="24"/>
        </w:rPr>
      </w:pPr>
    </w:p>
    <w:p w14:paraId="1CC36E35" w14:textId="77777777" w:rsidR="005D7C36" w:rsidRDefault="00EB7BB6">
      <w:pPr>
        <w:pStyle w:val="Heading1"/>
        <w:spacing w:line="360" w:lineRule="auto"/>
        <w:ind w:firstLine="0"/>
        <w:rPr>
          <w:b w:val="0"/>
          <w:bCs w:val="0"/>
        </w:rPr>
      </w:pPr>
      <w:bookmarkStart w:id="5" w:name="_9m2ad2u2cd7w" w:colFirst="0" w:colLast="0"/>
      <w:bookmarkEnd w:id="5"/>
      <w:r>
        <w:rPr>
          <w:b w:val="0"/>
          <w:bCs w:val="0"/>
        </w:rPr>
        <w:t>Conclusiones</w:t>
      </w:r>
    </w:p>
    <w:p w14:paraId="1CC36E36" w14:textId="77777777" w:rsidR="005D7C36" w:rsidRDefault="005D7C36">
      <w:pPr>
        <w:pBdr>
          <w:top w:val="nil"/>
          <w:left w:val="nil"/>
          <w:bottom w:val="nil"/>
          <w:right w:val="nil"/>
          <w:between w:val="nil"/>
        </w:pBdr>
        <w:spacing w:before="89" w:line="360" w:lineRule="auto"/>
        <w:rPr>
          <w:b/>
          <w:bCs/>
          <w:color w:val="000000"/>
          <w:sz w:val="24"/>
          <w:szCs w:val="24"/>
        </w:rPr>
      </w:pPr>
    </w:p>
    <w:p w14:paraId="1CC36E37" w14:textId="77777777" w:rsidR="005D7C36" w:rsidRDefault="00EB7BB6">
      <w:pPr>
        <w:pBdr>
          <w:top w:val="nil"/>
          <w:left w:val="nil"/>
          <w:bottom w:val="nil"/>
          <w:right w:val="nil"/>
          <w:between w:val="nil"/>
        </w:pBdr>
        <w:spacing w:before="1" w:line="360" w:lineRule="auto"/>
        <w:ind w:left="23" w:right="42"/>
        <w:rPr>
          <w:color w:val="000000"/>
          <w:sz w:val="24"/>
          <w:szCs w:val="24"/>
        </w:rPr>
        <w:sectPr w:rsidR="005D7C36">
          <w:pgSz w:w="11920" w:h="16840"/>
          <w:pgMar w:top="1940" w:right="1417" w:bottom="280" w:left="1417" w:header="360" w:footer="360" w:gutter="0"/>
          <w:cols w:space="720"/>
        </w:sectPr>
      </w:pPr>
      <w:r>
        <w:rPr>
          <w:color w:val="000000"/>
          <w:sz w:val="24"/>
          <w:szCs w:val="24"/>
        </w:rPr>
        <w:t>La sordoceguera es una condición que nos invita a replantear lo que entendemos por comunicación, autonomía y humanidad. A lo largo de este ensayo, quedó claro que no se trata solo de una doble limitación sensorial, sino de una forma distinta de percibir y habitar el mundo. Esta multidiscapacidad evidencia la riqueza de la diversidad humana y la necesidad</w:t>
      </w:r>
    </w:p>
    <w:p w14:paraId="1CC36E38" w14:textId="77777777" w:rsidR="005D7C36" w:rsidRDefault="00EB7BB6">
      <w:pPr>
        <w:pBdr>
          <w:top w:val="nil"/>
          <w:left w:val="nil"/>
          <w:bottom w:val="nil"/>
          <w:right w:val="nil"/>
          <w:between w:val="nil"/>
        </w:pBdr>
        <w:spacing w:before="80" w:line="360" w:lineRule="auto"/>
        <w:ind w:left="23" w:right="46"/>
        <w:rPr>
          <w:color w:val="000000"/>
          <w:sz w:val="24"/>
          <w:szCs w:val="24"/>
        </w:rPr>
      </w:pPr>
      <w:r>
        <w:rPr>
          <w:color w:val="000000"/>
          <w:sz w:val="24"/>
          <w:szCs w:val="24"/>
        </w:rPr>
        <w:lastRenderedPageBreak/>
        <w:t>urgente de una sociedad verdaderamente inclusiva, donde las diferencias sean comprendidas y valoradas.</w:t>
      </w:r>
    </w:p>
    <w:p w14:paraId="1CC36E39" w14:textId="77777777" w:rsidR="005D7C36" w:rsidRDefault="00EB7BB6">
      <w:pPr>
        <w:pBdr>
          <w:top w:val="nil"/>
          <w:left w:val="nil"/>
          <w:bottom w:val="nil"/>
          <w:right w:val="nil"/>
          <w:between w:val="nil"/>
        </w:pBdr>
        <w:spacing w:line="360" w:lineRule="auto"/>
        <w:ind w:left="23" w:right="40"/>
        <w:rPr>
          <w:color w:val="000000"/>
          <w:sz w:val="24"/>
          <w:szCs w:val="24"/>
        </w:rPr>
      </w:pPr>
      <w:r>
        <w:rPr>
          <w:color w:val="000000"/>
          <w:sz w:val="24"/>
          <w:szCs w:val="24"/>
        </w:rPr>
        <w:t>Más allá de las barreras físicas o tecnológicas, las personas sordociegas enfrentan obstáculos sociales y actitudinales que nacen del desconocimiento y la falta de empatía. Romper esas barreras requiere educación, sensibilidad y compromiso colectivo. La inclusión no se logra únicamente mediante leyes o políticas, sino a través de gestos cotidianos de respeto y apertura hacia quienes perciben el mundo de otra manera.</w:t>
      </w:r>
    </w:p>
    <w:p w14:paraId="1CC36E3A" w14:textId="77777777" w:rsidR="005D7C36" w:rsidRDefault="00EB7BB6">
      <w:pPr>
        <w:pBdr>
          <w:top w:val="nil"/>
          <w:left w:val="nil"/>
          <w:bottom w:val="nil"/>
          <w:right w:val="nil"/>
          <w:between w:val="nil"/>
        </w:pBdr>
        <w:spacing w:line="360" w:lineRule="auto"/>
        <w:ind w:left="23" w:right="41"/>
        <w:rPr>
          <w:color w:val="000000"/>
          <w:sz w:val="24"/>
          <w:szCs w:val="24"/>
        </w:rPr>
      </w:pPr>
      <w:r>
        <w:rPr>
          <w:color w:val="000000"/>
          <w:sz w:val="24"/>
          <w:szCs w:val="24"/>
        </w:rPr>
        <w:t>Por ello, comprender la sordoceguera significa reconocer que el silencio y la oscuridad también pueden ser espacios de encuentro y aprendizaje. Las personas sordociegas nos enseñan que la comunicación más auténtica surge del contacto humano, del tiempo compartido y de la voluntad de comprender. Construir una sociedad más empática implica mirar más allá de los sentidos, hacia lo esencialmente humano que todos compartimos.</w:t>
      </w:r>
    </w:p>
    <w:p w14:paraId="1CC36E3B" w14:textId="77777777" w:rsidR="005D7C36" w:rsidRDefault="005D7C36">
      <w:pPr>
        <w:pBdr>
          <w:top w:val="nil"/>
          <w:left w:val="nil"/>
          <w:bottom w:val="nil"/>
          <w:right w:val="nil"/>
          <w:between w:val="nil"/>
        </w:pBdr>
        <w:spacing w:line="360" w:lineRule="auto"/>
        <w:rPr>
          <w:color w:val="000000"/>
          <w:sz w:val="24"/>
          <w:szCs w:val="24"/>
        </w:rPr>
      </w:pPr>
    </w:p>
    <w:p w14:paraId="1CC36E3C" w14:textId="77777777" w:rsidR="005D7C36" w:rsidRDefault="00EB7BB6">
      <w:pPr>
        <w:pStyle w:val="Heading1"/>
        <w:spacing w:before="1" w:line="360" w:lineRule="auto"/>
        <w:ind w:firstLine="0"/>
        <w:rPr>
          <w:b w:val="0"/>
          <w:bCs w:val="0"/>
        </w:rPr>
      </w:pPr>
      <w:bookmarkStart w:id="6" w:name="_obt1g5fccz3y" w:colFirst="0" w:colLast="0"/>
      <w:bookmarkEnd w:id="6"/>
      <w:r>
        <w:rPr>
          <w:b w:val="0"/>
          <w:bCs w:val="0"/>
        </w:rPr>
        <w:t>Reflexión final</w:t>
      </w:r>
    </w:p>
    <w:p w14:paraId="1CC36E3D" w14:textId="77777777" w:rsidR="005D7C36" w:rsidRDefault="005D7C36"/>
    <w:p w14:paraId="1CC36E3E" w14:textId="77777777" w:rsidR="005D7C36" w:rsidRDefault="00EB7BB6">
      <w:pPr>
        <w:pBdr>
          <w:top w:val="nil"/>
          <w:left w:val="nil"/>
          <w:bottom w:val="nil"/>
          <w:right w:val="nil"/>
          <w:between w:val="nil"/>
        </w:pBdr>
        <w:spacing w:line="360" w:lineRule="auto"/>
        <w:ind w:left="23" w:right="38"/>
        <w:rPr>
          <w:color w:val="000000"/>
          <w:sz w:val="24"/>
          <w:szCs w:val="24"/>
        </w:rPr>
      </w:pPr>
      <w:r>
        <w:rPr>
          <w:color w:val="000000"/>
          <w:sz w:val="24"/>
          <w:szCs w:val="24"/>
        </w:rPr>
        <w:t>Escribo estas palabras desde mi propia experiencia como persona ciega, desde ese espacio donde la oscuridad no es ausencia, sino otra forma de ver. He aprendido que la verdadera percepción nace del alma, de la capacidad de sentir, imaginar y conectar con los demás más allá de los límites sensoriales. Por eso, al reflexionar sobre la sordoceguera, no lo hago desde la distancia, sino desde la admiración y el respeto profundo hacia quienes viven entre el silencio y la oscuridad.</w:t>
      </w:r>
    </w:p>
    <w:p w14:paraId="1CC36E3F" w14:textId="77777777" w:rsidR="005D7C36" w:rsidRDefault="00EB7BB6">
      <w:pPr>
        <w:pBdr>
          <w:top w:val="nil"/>
          <w:left w:val="nil"/>
          <w:bottom w:val="nil"/>
          <w:right w:val="nil"/>
          <w:between w:val="nil"/>
        </w:pBdr>
        <w:spacing w:line="360" w:lineRule="auto"/>
        <w:ind w:left="23" w:right="35"/>
        <w:rPr>
          <w:color w:val="000000"/>
          <w:sz w:val="24"/>
          <w:szCs w:val="24"/>
        </w:rPr>
      </w:pPr>
      <w:r>
        <w:rPr>
          <w:color w:val="000000"/>
          <w:sz w:val="24"/>
          <w:szCs w:val="24"/>
        </w:rPr>
        <w:t>La sordoceguera representa una de las expresiones más puras de la fortaleza humana. En cada persona que vive con esta condición hay un universo de resiliencia, creatividad y sabiduría. Nos recuerdan que la vida puede comunicarse sin palabras, que el amor puede sentirse sin miradas, y que la presencia puede expresarse en un simple toque lleno de significado.</w:t>
      </w:r>
    </w:p>
    <w:p w14:paraId="1CC36E40" w14:textId="77777777" w:rsidR="005D7C36" w:rsidRDefault="00EB7BB6">
      <w:pPr>
        <w:pBdr>
          <w:top w:val="nil"/>
          <w:left w:val="nil"/>
          <w:bottom w:val="nil"/>
          <w:right w:val="nil"/>
          <w:between w:val="nil"/>
        </w:pBdr>
        <w:spacing w:line="360" w:lineRule="auto"/>
        <w:ind w:left="23" w:right="38"/>
        <w:rPr>
          <w:color w:val="000000"/>
          <w:sz w:val="24"/>
          <w:szCs w:val="24"/>
        </w:rPr>
      </w:pPr>
      <w:r>
        <w:rPr>
          <w:color w:val="000000"/>
          <w:sz w:val="24"/>
          <w:szCs w:val="24"/>
        </w:rPr>
        <w:t>Como futura psicóloga, siento la responsabilidad de promover una mirada más humana, donde la discapacidad no sea vista como un límite, sino como una oportunidad de descubrir nuevas formas de sensibilidad y conexión. Agradezco la lección que ofrece esta condición: que incluso en el silencio y la oscuridad más profundos, puede florecer una luz interior inmensa.</w:t>
      </w:r>
    </w:p>
    <w:p w14:paraId="1CC36E41" w14:textId="77777777" w:rsidR="005D7C36" w:rsidRDefault="00EB7BB6">
      <w:pPr>
        <w:pBdr>
          <w:top w:val="nil"/>
          <w:left w:val="nil"/>
          <w:bottom w:val="nil"/>
          <w:right w:val="nil"/>
          <w:between w:val="nil"/>
        </w:pBdr>
        <w:spacing w:line="360" w:lineRule="auto"/>
        <w:ind w:left="23" w:right="41"/>
        <w:rPr>
          <w:color w:val="000000"/>
          <w:sz w:val="24"/>
          <w:szCs w:val="24"/>
        </w:rPr>
      </w:pPr>
      <w:r>
        <w:rPr>
          <w:color w:val="000000"/>
          <w:sz w:val="24"/>
          <w:szCs w:val="24"/>
        </w:rPr>
        <w:t>Y es precisamente allí, en ese abrazo entre el silencio y la oscuridad, donde encuentro la esencia más bella de la humanidad.</w:t>
      </w:r>
    </w:p>
    <w:p w14:paraId="1CC36E42" w14:textId="77777777" w:rsidR="005D7C36" w:rsidRDefault="005D7C36">
      <w:pPr>
        <w:pBdr>
          <w:top w:val="nil"/>
          <w:left w:val="nil"/>
          <w:bottom w:val="nil"/>
          <w:right w:val="nil"/>
          <w:between w:val="nil"/>
        </w:pBdr>
        <w:spacing w:before="38" w:line="360" w:lineRule="auto"/>
        <w:rPr>
          <w:color w:val="000000"/>
          <w:sz w:val="24"/>
          <w:szCs w:val="24"/>
        </w:rPr>
      </w:pPr>
    </w:p>
    <w:p w14:paraId="1CC36E43" w14:textId="77777777" w:rsidR="005D7C36" w:rsidRDefault="00EB7BB6">
      <w:pPr>
        <w:pStyle w:val="Heading1"/>
        <w:spacing w:line="360" w:lineRule="auto"/>
        <w:ind w:firstLine="0"/>
        <w:rPr>
          <w:b w:val="0"/>
          <w:bCs w:val="0"/>
        </w:rPr>
      </w:pPr>
      <w:bookmarkStart w:id="7" w:name="_j5twfqwky3ps" w:colFirst="0" w:colLast="0"/>
      <w:bookmarkEnd w:id="7"/>
      <w:r>
        <w:rPr>
          <w:b w:val="0"/>
          <w:bCs w:val="0"/>
        </w:rPr>
        <w:lastRenderedPageBreak/>
        <w:t>Referencias</w:t>
      </w:r>
    </w:p>
    <w:p w14:paraId="1CC36E44" w14:textId="77777777" w:rsidR="005D7C36" w:rsidRDefault="005D7C36">
      <w:pPr>
        <w:pBdr>
          <w:top w:val="nil"/>
          <w:left w:val="nil"/>
          <w:bottom w:val="nil"/>
          <w:right w:val="nil"/>
          <w:between w:val="nil"/>
        </w:pBdr>
        <w:spacing w:before="76" w:line="360" w:lineRule="auto"/>
        <w:rPr>
          <w:b/>
          <w:bCs/>
          <w:color w:val="000000"/>
          <w:sz w:val="24"/>
          <w:szCs w:val="24"/>
        </w:rPr>
      </w:pPr>
    </w:p>
    <w:p w14:paraId="1CC36E45" w14:textId="77777777" w:rsidR="005D7C36" w:rsidRDefault="00EB7BB6">
      <w:pPr>
        <w:pBdr>
          <w:top w:val="nil"/>
          <w:left w:val="nil"/>
          <w:bottom w:val="nil"/>
          <w:right w:val="nil"/>
          <w:between w:val="nil"/>
        </w:pBdr>
        <w:tabs>
          <w:tab w:val="left" w:pos="4446"/>
          <w:tab w:val="left" w:pos="7873"/>
        </w:tabs>
        <w:spacing w:line="360" w:lineRule="auto"/>
        <w:ind w:left="308" w:right="41" w:hanging="285"/>
        <w:rPr>
          <w:color w:val="000000"/>
          <w:sz w:val="24"/>
          <w:szCs w:val="24"/>
        </w:rPr>
      </w:pPr>
      <w:r>
        <w:rPr>
          <w:color w:val="000000"/>
          <w:sz w:val="24"/>
          <w:szCs w:val="24"/>
        </w:rPr>
        <w:t>Arcous, M. (2024). Psychological and social consequences of deafblindness: A review. Frontiers</w:t>
      </w:r>
      <w:r>
        <w:rPr>
          <w:color w:val="000000"/>
          <w:sz w:val="24"/>
          <w:szCs w:val="24"/>
        </w:rPr>
        <w:tab/>
        <w:t>in</w:t>
      </w:r>
      <w:r>
        <w:rPr>
          <w:color w:val="000000"/>
          <w:sz w:val="24"/>
          <w:szCs w:val="24"/>
        </w:rPr>
        <w:tab/>
        <w:t xml:space="preserve">Psychology. </w:t>
      </w:r>
      <w:hyperlink r:id="rId4">
        <w:r>
          <w:rPr>
            <w:color w:val="1154CC"/>
            <w:sz w:val="24"/>
            <w:szCs w:val="24"/>
            <w:u w:val="single"/>
          </w:rPr>
          <w:t>https://www.frontiersin.org/articles/10.3389/fpsyg.2024.1102206/full</w:t>
        </w:r>
      </w:hyperlink>
    </w:p>
    <w:p w14:paraId="1CC36E46" w14:textId="77777777" w:rsidR="005D7C36" w:rsidRDefault="005D7C36">
      <w:pPr>
        <w:pBdr>
          <w:top w:val="nil"/>
          <w:left w:val="nil"/>
          <w:bottom w:val="nil"/>
          <w:right w:val="nil"/>
          <w:between w:val="nil"/>
        </w:pBdr>
        <w:spacing w:before="38" w:line="360" w:lineRule="auto"/>
        <w:rPr>
          <w:color w:val="000000"/>
          <w:sz w:val="24"/>
          <w:szCs w:val="24"/>
        </w:rPr>
      </w:pPr>
    </w:p>
    <w:p w14:paraId="1CC36E47" w14:textId="77777777" w:rsidR="005D7C36" w:rsidRDefault="00EB7BB6">
      <w:pPr>
        <w:pBdr>
          <w:top w:val="nil"/>
          <w:left w:val="nil"/>
          <w:bottom w:val="nil"/>
          <w:right w:val="nil"/>
          <w:between w:val="nil"/>
        </w:pBdr>
        <w:spacing w:line="360" w:lineRule="auto"/>
        <w:ind w:left="308" w:right="43" w:hanging="285"/>
        <w:rPr>
          <w:color w:val="000000"/>
          <w:sz w:val="24"/>
          <w:szCs w:val="24"/>
        </w:rPr>
      </w:pPr>
      <w:r>
        <w:rPr>
          <w:color w:val="000000"/>
          <w:sz w:val="24"/>
          <w:szCs w:val="24"/>
        </w:rPr>
        <w:t xml:space="preserve">Bruce, S. (2017). Communication and language in learners who are deafblind: The role of interaction and context. Journal of Deaf Studies and Deaf Education, 22(4), 409-421. </w:t>
      </w:r>
      <w:hyperlink r:id="rId5">
        <w:r>
          <w:rPr>
            <w:color w:val="1154CC"/>
            <w:sz w:val="24"/>
            <w:szCs w:val="24"/>
            <w:u w:val="single"/>
          </w:rPr>
          <w:t>https://doi.org/10.1093/deafed/enx025</w:t>
        </w:r>
      </w:hyperlink>
    </w:p>
    <w:p w14:paraId="1CC36E48" w14:textId="77777777" w:rsidR="005D7C36" w:rsidRDefault="005D7C36">
      <w:pPr>
        <w:pBdr>
          <w:top w:val="nil"/>
          <w:left w:val="nil"/>
          <w:bottom w:val="nil"/>
          <w:right w:val="nil"/>
          <w:between w:val="nil"/>
        </w:pBdr>
        <w:spacing w:before="38" w:line="360" w:lineRule="auto"/>
        <w:rPr>
          <w:color w:val="000000"/>
          <w:sz w:val="24"/>
          <w:szCs w:val="24"/>
        </w:rPr>
      </w:pPr>
    </w:p>
    <w:p w14:paraId="1CC36E49" w14:textId="77777777" w:rsidR="005D7C36" w:rsidRDefault="00EB7BB6">
      <w:pPr>
        <w:pBdr>
          <w:top w:val="nil"/>
          <w:left w:val="nil"/>
          <w:bottom w:val="nil"/>
          <w:right w:val="nil"/>
          <w:between w:val="nil"/>
        </w:pBdr>
        <w:spacing w:line="360" w:lineRule="auto"/>
        <w:ind w:left="308" w:right="36" w:hanging="285"/>
        <w:rPr>
          <w:color w:val="000000"/>
          <w:sz w:val="24"/>
          <w:szCs w:val="24"/>
        </w:rPr>
      </w:pPr>
      <w:r>
        <w:rPr>
          <w:color w:val="000000"/>
          <w:sz w:val="24"/>
          <w:szCs w:val="24"/>
        </w:rPr>
        <w:t>Congreso de la República del Perú. (2010). Ley N.º 29524: Ley que reconoce la sordoceguera como discapacidad única y establece disposiciones para la atención de las personas</w:t>
      </w:r>
      <w:r>
        <w:rPr>
          <w:color w:val="000000"/>
          <w:sz w:val="24"/>
          <w:szCs w:val="24"/>
        </w:rPr>
        <w:tab/>
        <w:t>sordociegas.</w:t>
      </w:r>
      <w:r>
        <w:rPr>
          <w:color w:val="000000"/>
          <w:sz w:val="24"/>
          <w:szCs w:val="24"/>
        </w:rPr>
        <w:tab/>
        <w:t>Diario</w:t>
      </w:r>
      <w:r>
        <w:rPr>
          <w:color w:val="000000"/>
          <w:sz w:val="24"/>
          <w:szCs w:val="24"/>
        </w:rPr>
        <w:tab/>
        <w:t>Oficial</w:t>
      </w:r>
      <w:r>
        <w:rPr>
          <w:color w:val="000000"/>
          <w:sz w:val="24"/>
          <w:szCs w:val="24"/>
        </w:rPr>
        <w:tab/>
        <w:t>El</w:t>
      </w:r>
      <w:r>
        <w:rPr>
          <w:color w:val="000000"/>
          <w:sz w:val="24"/>
          <w:szCs w:val="24"/>
        </w:rPr>
        <w:tab/>
        <w:t xml:space="preserve">Peruano. </w:t>
      </w:r>
      <w:hyperlink r:id="rId6">
        <w:r>
          <w:rPr>
            <w:color w:val="1154CC"/>
            <w:sz w:val="24"/>
            <w:szCs w:val="24"/>
            <w:u w:val="single"/>
          </w:rPr>
          <w:t>https://www.gob.pe/institucion/congreso-de-la-republica/normas-legales/276093-29524</w:t>
        </w:r>
      </w:hyperlink>
    </w:p>
    <w:p w14:paraId="1CC36E4A" w14:textId="77777777" w:rsidR="005D7C36" w:rsidRDefault="005D7C36">
      <w:pPr>
        <w:pBdr>
          <w:top w:val="nil"/>
          <w:left w:val="nil"/>
          <w:bottom w:val="nil"/>
          <w:right w:val="nil"/>
          <w:between w:val="nil"/>
        </w:pBdr>
        <w:spacing w:before="37" w:line="360" w:lineRule="auto"/>
        <w:rPr>
          <w:color w:val="000000"/>
          <w:sz w:val="24"/>
          <w:szCs w:val="24"/>
        </w:rPr>
      </w:pPr>
    </w:p>
    <w:p w14:paraId="1CC36E4B" w14:textId="77777777" w:rsidR="005D7C36" w:rsidRDefault="00EB7BB6">
      <w:pPr>
        <w:pBdr>
          <w:top w:val="nil"/>
          <w:left w:val="nil"/>
          <w:bottom w:val="nil"/>
          <w:right w:val="nil"/>
          <w:between w:val="nil"/>
        </w:pBdr>
        <w:spacing w:before="1" w:line="360" w:lineRule="auto"/>
        <w:ind w:left="308" w:right="40" w:hanging="285"/>
        <w:rPr>
          <w:color w:val="000000"/>
          <w:sz w:val="24"/>
          <w:szCs w:val="24"/>
        </w:rPr>
      </w:pPr>
      <w:r>
        <w:rPr>
          <w:color w:val="000000"/>
          <w:sz w:val="24"/>
          <w:szCs w:val="24"/>
        </w:rPr>
        <w:t xml:space="preserve">Dammeyer, J., &amp; Ask Larsen, F. (2016). Communication and psychological outcomes in individuals with congenital deafblindness. Research in Developmental Disabilities, 56, 21-30. </w:t>
      </w:r>
      <w:hyperlink r:id="rId7">
        <w:r>
          <w:rPr>
            <w:color w:val="1154CC"/>
            <w:sz w:val="24"/>
            <w:szCs w:val="24"/>
            <w:u w:val="single"/>
          </w:rPr>
          <w:t>https://doi.org/10.1016/j.ridd.2016.05.010</w:t>
        </w:r>
      </w:hyperlink>
    </w:p>
    <w:p w14:paraId="1CC36E4C" w14:textId="77777777" w:rsidR="005D7C36" w:rsidRDefault="005D7C36">
      <w:pPr>
        <w:pBdr>
          <w:top w:val="nil"/>
          <w:left w:val="nil"/>
          <w:bottom w:val="nil"/>
          <w:right w:val="nil"/>
          <w:between w:val="nil"/>
        </w:pBdr>
        <w:spacing w:before="37" w:line="360" w:lineRule="auto"/>
        <w:rPr>
          <w:color w:val="000000"/>
          <w:sz w:val="24"/>
          <w:szCs w:val="24"/>
        </w:rPr>
      </w:pPr>
    </w:p>
    <w:p w14:paraId="1CC36E4D" w14:textId="77777777" w:rsidR="005D7C36" w:rsidRDefault="00EB7BB6">
      <w:pPr>
        <w:pBdr>
          <w:top w:val="nil"/>
          <w:left w:val="nil"/>
          <w:bottom w:val="nil"/>
          <w:right w:val="nil"/>
          <w:between w:val="nil"/>
        </w:pBdr>
        <w:spacing w:before="1" w:line="360" w:lineRule="auto"/>
        <w:ind w:left="308" w:right="48" w:hanging="285"/>
        <w:rPr>
          <w:color w:val="000000"/>
          <w:sz w:val="24"/>
          <w:szCs w:val="24"/>
        </w:rPr>
      </w:pPr>
      <w:r>
        <w:rPr>
          <w:color w:val="000000"/>
          <w:sz w:val="24"/>
          <w:szCs w:val="24"/>
        </w:rPr>
        <w:t xml:space="preserve">Deafblind International. (2020). World Federation of the Deafblind: Global report 2020. </w:t>
      </w:r>
      <w:hyperlink r:id="rId8">
        <w:r>
          <w:rPr>
            <w:color w:val="1154CC"/>
            <w:sz w:val="24"/>
            <w:szCs w:val="24"/>
            <w:u w:val="single"/>
          </w:rPr>
          <w:t>https://wfdb.eu/</w:t>
        </w:r>
      </w:hyperlink>
    </w:p>
    <w:p w14:paraId="1CC36E4E" w14:textId="77777777" w:rsidR="005D7C36" w:rsidRDefault="005D7C36">
      <w:pPr>
        <w:pBdr>
          <w:top w:val="nil"/>
          <w:left w:val="nil"/>
          <w:bottom w:val="nil"/>
          <w:right w:val="nil"/>
          <w:between w:val="nil"/>
        </w:pBdr>
        <w:spacing w:before="37" w:line="360" w:lineRule="auto"/>
        <w:rPr>
          <w:color w:val="000000"/>
          <w:sz w:val="24"/>
          <w:szCs w:val="24"/>
        </w:rPr>
      </w:pPr>
    </w:p>
    <w:p w14:paraId="1CC36E4F" w14:textId="77777777" w:rsidR="005D7C36" w:rsidRDefault="00EB7BB6">
      <w:pPr>
        <w:pBdr>
          <w:top w:val="nil"/>
          <w:left w:val="nil"/>
          <w:bottom w:val="nil"/>
          <w:right w:val="nil"/>
          <w:between w:val="nil"/>
        </w:pBdr>
        <w:tabs>
          <w:tab w:val="left" w:pos="8398"/>
        </w:tabs>
        <w:spacing w:before="1" w:line="360" w:lineRule="auto"/>
        <w:ind w:left="308" w:right="37" w:hanging="285"/>
        <w:rPr>
          <w:color w:val="000000"/>
          <w:sz w:val="24"/>
          <w:szCs w:val="24"/>
        </w:rPr>
      </w:pPr>
      <w:r>
        <w:rPr>
          <w:color w:val="000000"/>
          <w:sz w:val="24"/>
          <w:szCs w:val="24"/>
        </w:rPr>
        <w:t>Deafblindness.info. (2012). Manual de sordoceguera: Comunicación, derechos y rol del guía-intérprete</w:t>
      </w:r>
      <w:r>
        <w:rPr>
          <w:color w:val="000000"/>
          <w:sz w:val="24"/>
          <w:szCs w:val="24"/>
        </w:rPr>
        <w:tab/>
        <w:t>(PDF).</w:t>
      </w:r>
    </w:p>
    <w:p w14:paraId="1CC36E50" w14:textId="77777777" w:rsidR="005D7C36" w:rsidRDefault="00EB7BB6">
      <w:pPr>
        <w:pBdr>
          <w:top w:val="nil"/>
          <w:left w:val="nil"/>
          <w:bottom w:val="nil"/>
          <w:right w:val="nil"/>
          <w:between w:val="nil"/>
        </w:pBdr>
        <w:spacing w:line="360" w:lineRule="auto"/>
        <w:ind w:left="308"/>
        <w:rPr>
          <w:color w:val="000000"/>
          <w:sz w:val="24"/>
          <w:szCs w:val="24"/>
        </w:rPr>
      </w:pPr>
      <w:hyperlink r:id="rId9">
        <w:r>
          <w:rPr>
            <w:color w:val="1154CC"/>
            <w:sz w:val="24"/>
            <w:szCs w:val="24"/>
            <w:u w:val="single"/>
          </w:rPr>
          <w:t>https://deafblindness.info/wp-content/uploads/2021/11/Manual-de-Sordoceguera-2012.pdf</w:t>
        </w:r>
      </w:hyperlink>
    </w:p>
    <w:p w14:paraId="1CC36E51" w14:textId="77777777" w:rsidR="005D7C36" w:rsidRDefault="005D7C36">
      <w:pPr>
        <w:pBdr>
          <w:top w:val="nil"/>
          <w:left w:val="nil"/>
          <w:bottom w:val="nil"/>
          <w:right w:val="nil"/>
          <w:between w:val="nil"/>
        </w:pBdr>
        <w:spacing w:before="75" w:line="360" w:lineRule="auto"/>
        <w:rPr>
          <w:color w:val="000000"/>
          <w:sz w:val="24"/>
          <w:szCs w:val="24"/>
        </w:rPr>
      </w:pPr>
    </w:p>
    <w:p w14:paraId="1CC36E52" w14:textId="77777777" w:rsidR="005D7C36" w:rsidRDefault="00EB7BB6">
      <w:pPr>
        <w:pBdr>
          <w:top w:val="nil"/>
          <w:left w:val="nil"/>
          <w:bottom w:val="nil"/>
          <w:right w:val="nil"/>
          <w:between w:val="nil"/>
        </w:pBdr>
        <w:spacing w:line="360" w:lineRule="auto"/>
        <w:ind w:left="308" w:right="43" w:hanging="285"/>
        <w:rPr>
          <w:color w:val="000000"/>
          <w:sz w:val="24"/>
          <w:szCs w:val="24"/>
        </w:rPr>
      </w:pPr>
      <w:r>
        <w:rPr>
          <w:color w:val="000000"/>
          <w:sz w:val="24"/>
          <w:szCs w:val="24"/>
        </w:rPr>
        <w:t xml:space="preserve">Deafblindness.info. (s. f.). Formas de comunicarse con una persona con sordoceguera. </w:t>
      </w:r>
      <w:hyperlink r:id="rId10">
        <w:r>
          <w:rPr>
            <w:color w:val="1154CC"/>
            <w:sz w:val="24"/>
            <w:szCs w:val="24"/>
            <w:u w:val="single"/>
          </w:rPr>
          <w:t>https://deafblindness.info/es/resource/formas-de-comunicarse-con-una-persona-con-sord</w:t>
        </w:r>
      </w:hyperlink>
      <w:r>
        <w:rPr>
          <w:color w:val="1154CC"/>
          <w:sz w:val="24"/>
          <w:szCs w:val="24"/>
        </w:rPr>
        <w:t xml:space="preserve"> </w:t>
      </w:r>
      <w:hyperlink r:id="rId11">
        <w:r>
          <w:rPr>
            <w:color w:val="1154CC"/>
            <w:sz w:val="24"/>
            <w:szCs w:val="24"/>
            <w:u w:val="single"/>
          </w:rPr>
          <w:t>oceguera/</w:t>
        </w:r>
      </w:hyperlink>
    </w:p>
    <w:p w14:paraId="1CC36E53" w14:textId="77777777" w:rsidR="005D7C36" w:rsidRDefault="005D7C36">
      <w:pPr>
        <w:pBdr>
          <w:top w:val="nil"/>
          <w:left w:val="nil"/>
          <w:bottom w:val="nil"/>
          <w:right w:val="nil"/>
          <w:between w:val="nil"/>
        </w:pBdr>
        <w:spacing w:before="38" w:line="360" w:lineRule="auto"/>
        <w:rPr>
          <w:color w:val="000000"/>
          <w:sz w:val="24"/>
          <w:szCs w:val="24"/>
        </w:rPr>
      </w:pPr>
    </w:p>
    <w:p w14:paraId="1CC36E54" w14:textId="77777777" w:rsidR="005D7C36" w:rsidRDefault="00EB7BB6">
      <w:pPr>
        <w:pBdr>
          <w:top w:val="nil"/>
          <w:left w:val="nil"/>
          <w:bottom w:val="nil"/>
          <w:right w:val="nil"/>
          <w:between w:val="nil"/>
        </w:pBdr>
        <w:spacing w:line="360" w:lineRule="auto"/>
        <w:ind w:left="308" w:right="35" w:hanging="285"/>
        <w:rPr>
          <w:color w:val="000000"/>
          <w:sz w:val="24"/>
          <w:szCs w:val="24"/>
        </w:rPr>
      </w:pPr>
      <w:r>
        <w:rPr>
          <w:color w:val="000000"/>
          <w:sz w:val="24"/>
          <w:szCs w:val="24"/>
        </w:rPr>
        <w:lastRenderedPageBreak/>
        <w:t xml:space="preserve">Gabarró-López, S., &amp; Mesch, J. (2020). Conveying environmental information to deafblind people: A study of tactile sign language interpreting. Frontiers in Education, 5, 157. </w:t>
      </w:r>
      <w:hyperlink r:id="rId12">
        <w:r>
          <w:rPr>
            <w:color w:val="1154CC"/>
            <w:sz w:val="24"/>
            <w:szCs w:val="24"/>
            <w:u w:val="single"/>
          </w:rPr>
          <w:t>https://doi.org/10.3389/feduc.2020.00157</w:t>
        </w:r>
      </w:hyperlink>
    </w:p>
    <w:p w14:paraId="1CC36E55" w14:textId="77777777" w:rsidR="005D7C36" w:rsidRDefault="005D7C36">
      <w:pPr>
        <w:pBdr>
          <w:top w:val="nil"/>
          <w:left w:val="nil"/>
          <w:bottom w:val="nil"/>
          <w:right w:val="nil"/>
          <w:between w:val="nil"/>
        </w:pBdr>
        <w:spacing w:before="38" w:line="360" w:lineRule="auto"/>
        <w:rPr>
          <w:color w:val="000000"/>
          <w:sz w:val="24"/>
          <w:szCs w:val="24"/>
        </w:rPr>
      </w:pPr>
    </w:p>
    <w:p w14:paraId="1CC36E56" w14:textId="77777777" w:rsidR="005D7C36" w:rsidRDefault="00EB7BB6">
      <w:pPr>
        <w:pBdr>
          <w:top w:val="nil"/>
          <w:left w:val="nil"/>
          <w:bottom w:val="nil"/>
          <w:right w:val="nil"/>
          <w:between w:val="nil"/>
        </w:pBdr>
        <w:spacing w:line="360" w:lineRule="auto"/>
        <w:ind w:left="308" w:right="43" w:hanging="285"/>
        <w:rPr>
          <w:color w:val="000000"/>
          <w:sz w:val="24"/>
          <w:szCs w:val="24"/>
        </w:rPr>
      </w:pPr>
      <w:r>
        <w:rPr>
          <w:color w:val="000000"/>
          <w:sz w:val="24"/>
          <w:szCs w:val="24"/>
        </w:rPr>
        <w:t xml:space="preserve">Jung, J., Reed, C. M., Martinez, J. S., &amp; Tan, H. Z. (2024). Tactile speech communication: Reception of words and two-way messages through a phoneme-based display. Virtual Worlds, 3(2), 184-207. </w:t>
      </w:r>
      <w:hyperlink r:id="rId13">
        <w:r>
          <w:rPr>
            <w:color w:val="1154CC"/>
            <w:sz w:val="24"/>
            <w:szCs w:val="24"/>
            <w:u w:val="single"/>
          </w:rPr>
          <w:t>https://doi.org/10.3390/virtualworlds3020010</w:t>
        </w:r>
      </w:hyperlink>
    </w:p>
    <w:p w14:paraId="1CC36E57" w14:textId="77777777" w:rsidR="005D7C36" w:rsidRDefault="005D7C36">
      <w:pPr>
        <w:pBdr>
          <w:top w:val="nil"/>
          <w:left w:val="nil"/>
          <w:bottom w:val="nil"/>
          <w:right w:val="nil"/>
          <w:between w:val="nil"/>
        </w:pBdr>
        <w:spacing w:before="38" w:line="360" w:lineRule="auto"/>
        <w:rPr>
          <w:color w:val="000000"/>
          <w:sz w:val="24"/>
          <w:szCs w:val="24"/>
        </w:rPr>
      </w:pPr>
    </w:p>
    <w:p w14:paraId="1CC36E58" w14:textId="77777777" w:rsidR="005D7C36" w:rsidRDefault="00EB7BB6">
      <w:pPr>
        <w:pBdr>
          <w:top w:val="nil"/>
          <w:left w:val="nil"/>
          <w:bottom w:val="nil"/>
          <w:right w:val="nil"/>
          <w:between w:val="nil"/>
        </w:pBdr>
        <w:tabs>
          <w:tab w:val="left" w:pos="2791"/>
          <w:tab w:val="left" w:pos="5470"/>
          <w:tab w:val="left" w:pos="8256"/>
        </w:tabs>
        <w:spacing w:line="360" w:lineRule="auto"/>
        <w:ind w:left="308" w:right="38" w:hanging="285"/>
        <w:rPr>
          <w:color w:val="000000"/>
          <w:sz w:val="24"/>
          <w:szCs w:val="24"/>
        </w:rPr>
      </w:pPr>
      <w:r>
        <w:rPr>
          <w:color w:val="000000"/>
          <w:sz w:val="24"/>
          <w:szCs w:val="24"/>
        </w:rPr>
        <w:t>Kumar, U. (2024). A systematic scoping review of psychosocial challenges faced by deafblind</w:t>
      </w:r>
      <w:r>
        <w:rPr>
          <w:color w:val="000000"/>
          <w:sz w:val="24"/>
          <w:szCs w:val="24"/>
        </w:rPr>
        <w:tab/>
        <w:t>individuals.</w:t>
      </w:r>
      <w:r>
        <w:rPr>
          <w:color w:val="000000"/>
          <w:sz w:val="24"/>
          <w:szCs w:val="24"/>
        </w:rPr>
        <w:tab/>
        <w:t>International</w:t>
      </w:r>
      <w:r>
        <w:rPr>
          <w:color w:val="000000"/>
          <w:sz w:val="24"/>
          <w:szCs w:val="24"/>
        </w:rPr>
        <w:tab/>
        <w:t xml:space="preserve">Journal. </w:t>
      </w:r>
      <w:hyperlink r:id="rId14">
        <w:r>
          <w:rPr>
            <w:color w:val="1154CC"/>
            <w:sz w:val="24"/>
            <w:szCs w:val="24"/>
            <w:u w:val="single"/>
          </w:rPr>
          <w:t>https://aiamswp.org.in/wp-content/uploads/2025/05/Volume-6-Issue-2-July-December-202</w:t>
        </w:r>
      </w:hyperlink>
      <w:r>
        <w:rPr>
          <w:color w:val="1154CC"/>
          <w:sz w:val="24"/>
          <w:szCs w:val="24"/>
        </w:rPr>
        <w:t xml:space="preserve"> </w:t>
      </w:r>
      <w:hyperlink r:id="rId15">
        <w:r>
          <w:rPr>
            <w:color w:val="1154CC"/>
            <w:sz w:val="24"/>
            <w:szCs w:val="24"/>
            <w:u w:val="single"/>
          </w:rPr>
          <w:t>4-21-29.pdf</w:t>
        </w:r>
      </w:hyperlink>
    </w:p>
    <w:p w14:paraId="1CC36E59" w14:textId="77777777" w:rsidR="005D7C36" w:rsidRDefault="005D7C36">
      <w:pPr>
        <w:pBdr>
          <w:top w:val="nil"/>
          <w:left w:val="nil"/>
          <w:bottom w:val="nil"/>
          <w:right w:val="nil"/>
          <w:between w:val="nil"/>
        </w:pBdr>
        <w:spacing w:before="38" w:line="360" w:lineRule="auto"/>
        <w:rPr>
          <w:color w:val="000000"/>
          <w:sz w:val="24"/>
          <w:szCs w:val="24"/>
        </w:rPr>
      </w:pPr>
    </w:p>
    <w:p w14:paraId="1CC36E5A" w14:textId="77777777" w:rsidR="005D7C36" w:rsidRDefault="00EB7BB6">
      <w:pPr>
        <w:pBdr>
          <w:top w:val="nil"/>
          <w:left w:val="nil"/>
          <w:bottom w:val="nil"/>
          <w:right w:val="nil"/>
          <w:between w:val="nil"/>
        </w:pBdr>
        <w:spacing w:line="360" w:lineRule="auto"/>
        <w:ind w:left="23"/>
        <w:rPr>
          <w:color w:val="000000"/>
          <w:sz w:val="24"/>
          <w:szCs w:val="24"/>
        </w:rPr>
      </w:pPr>
      <w:r>
        <w:rPr>
          <w:color w:val="000000"/>
          <w:sz w:val="24"/>
          <w:szCs w:val="24"/>
        </w:rPr>
        <w:t>Martins da Rocha, L. R., Abreu e Lima Maciel Lemos Vasconcelos, N., &amp; Resende da Costa,</w:t>
      </w:r>
    </w:p>
    <w:p w14:paraId="1CC36E5B" w14:textId="77777777" w:rsidR="005D7C36" w:rsidRDefault="00EB7BB6">
      <w:pPr>
        <w:pBdr>
          <w:top w:val="nil"/>
          <w:left w:val="nil"/>
          <w:bottom w:val="nil"/>
          <w:right w:val="nil"/>
          <w:between w:val="nil"/>
        </w:pBdr>
        <w:spacing w:before="38" w:line="360" w:lineRule="auto"/>
        <w:ind w:left="308"/>
        <w:rPr>
          <w:color w:val="000000"/>
          <w:sz w:val="24"/>
          <w:szCs w:val="24"/>
        </w:rPr>
      </w:pPr>
      <w:r>
        <w:rPr>
          <w:color w:val="000000"/>
          <w:sz w:val="24"/>
          <w:szCs w:val="24"/>
        </w:rPr>
        <w:t xml:space="preserve">M. da P. (2021). A escrita numérica de pessoas com surdocegueira. Práxis Educativa, 16(1), 1-11. </w:t>
      </w:r>
      <w:hyperlink r:id="rId16">
        <w:r>
          <w:rPr>
            <w:color w:val="1154CC"/>
            <w:sz w:val="24"/>
            <w:szCs w:val="24"/>
            <w:u w:val="single"/>
          </w:rPr>
          <w:t>https://doi.org/10.5212/PraxEduc.v.16.17435.025</w:t>
        </w:r>
      </w:hyperlink>
    </w:p>
    <w:p w14:paraId="1CC36E5C" w14:textId="77777777" w:rsidR="005D7C36" w:rsidRDefault="005D7C36">
      <w:pPr>
        <w:pBdr>
          <w:top w:val="nil"/>
          <w:left w:val="nil"/>
          <w:bottom w:val="nil"/>
          <w:right w:val="nil"/>
          <w:between w:val="nil"/>
        </w:pBdr>
        <w:spacing w:before="38" w:line="360" w:lineRule="auto"/>
        <w:rPr>
          <w:color w:val="000000"/>
          <w:sz w:val="24"/>
          <w:szCs w:val="24"/>
        </w:rPr>
      </w:pPr>
    </w:p>
    <w:p w14:paraId="1CC36E5D" w14:textId="77777777" w:rsidR="005D7C36" w:rsidRDefault="00EB7BB6">
      <w:pPr>
        <w:pBdr>
          <w:top w:val="nil"/>
          <w:left w:val="nil"/>
          <w:bottom w:val="nil"/>
          <w:right w:val="nil"/>
          <w:between w:val="nil"/>
        </w:pBdr>
        <w:spacing w:line="360" w:lineRule="auto"/>
        <w:ind w:left="308" w:right="41" w:hanging="285"/>
        <w:rPr>
          <w:color w:val="000000"/>
          <w:sz w:val="24"/>
          <w:szCs w:val="24"/>
        </w:rPr>
      </w:pPr>
      <w:r>
        <w:rPr>
          <w:color w:val="000000"/>
          <w:sz w:val="24"/>
          <w:szCs w:val="24"/>
        </w:rPr>
        <w:t xml:space="preserve">Miles, B. (2019). Understanding Deafblindness as a Unique Disability. National Center on Deaf-Blindness. </w:t>
      </w:r>
      <w:hyperlink r:id="rId17">
        <w:r>
          <w:rPr>
            <w:color w:val="1154CC"/>
            <w:sz w:val="24"/>
            <w:szCs w:val="24"/>
            <w:u w:val="single"/>
          </w:rPr>
          <w:t>https://www.nationaldb.org/</w:t>
        </w:r>
      </w:hyperlink>
    </w:p>
    <w:p w14:paraId="1CC36E5E" w14:textId="77777777" w:rsidR="005D7C36" w:rsidRDefault="005D7C36">
      <w:pPr>
        <w:pBdr>
          <w:top w:val="nil"/>
          <w:left w:val="nil"/>
          <w:bottom w:val="nil"/>
          <w:right w:val="nil"/>
          <w:between w:val="nil"/>
        </w:pBdr>
        <w:spacing w:before="38" w:line="360" w:lineRule="auto"/>
        <w:rPr>
          <w:color w:val="000000"/>
          <w:sz w:val="24"/>
          <w:szCs w:val="24"/>
        </w:rPr>
      </w:pPr>
    </w:p>
    <w:p w14:paraId="1CC36E5F" w14:textId="77777777" w:rsidR="005D7C36" w:rsidRDefault="00EB7BB6">
      <w:pPr>
        <w:pBdr>
          <w:top w:val="nil"/>
          <w:left w:val="nil"/>
          <w:bottom w:val="nil"/>
          <w:right w:val="nil"/>
          <w:between w:val="nil"/>
        </w:pBdr>
        <w:tabs>
          <w:tab w:val="left" w:pos="2485"/>
          <w:tab w:val="left" w:pos="3975"/>
          <w:tab w:val="left" w:pos="6248"/>
          <w:tab w:val="left" w:pos="8154"/>
        </w:tabs>
        <w:spacing w:line="360" w:lineRule="auto"/>
        <w:ind w:left="308" w:right="37" w:hanging="285"/>
        <w:rPr>
          <w:color w:val="000000"/>
          <w:sz w:val="24"/>
          <w:szCs w:val="24"/>
        </w:rPr>
      </w:pPr>
      <w:r>
        <w:rPr>
          <w:color w:val="000000"/>
          <w:sz w:val="24"/>
          <w:szCs w:val="24"/>
        </w:rPr>
        <w:t>Ministerio de Educación del Perú. (2021). Guía intérprete para personas con sordoceguera. Dirección</w:t>
      </w:r>
      <w:r>
        <w:rPr>
          <w:color w:val="000000"/>
          <w:sz w:val="24"/>
          <w:szCs w:val="24"/>
        </w:rPr>
        <w:tab/>
        <w:t>de</w:t>
      </w:r>
      <w:r>
        <w:rPr>
          <w:color w:val="000000"/>
          <w:sz w:val="24"/>
          <w:szCs w:val="24"/>
        </w:rPr>
        <w:tab/>
        <w:t>Educación</w:t>
      </w:r>
      <w:r>
        <w:rPr>
          <w:color w:val="000000"/>
          <w:sz w:val="24"/>
          <w:szCs w:val="24"/>
        </w:rPr>
        <w:tab/>
        <w:t>Básica</w:t>
      </w:r>
      <w:r>
        <w:rPr>
          <w:color w:val="000000"/>
          <w:sz w:val="24"/>
          <w:szCs w:val="24"/>
        </w:rPr>
        <w:tab/>
        <w:t xml:space="preserve">Especial. </w:t>
      </w:r>
      <w:hyperlink r:id="rId18">
        <w:r>
          <w:rPr>
            <w:color w:val="1154CC"/>
            <w:sz w:val="24"/>
            <w:szCs w:val="24"/>
            <w:u w:val="single"/>
          </w:rPr>
          <w:t>https://www.gob.pe/institucion/minedu/informes-publicaciones/5878479-guia-interprete-pa</w:t>
        </w:r>
      </w:hyperlink>
      <w:r>
        <w:rPr>
          <w:color w:val="1154CC"/>
          <w:sz w:val="24"/>
          <w:szCs w:val="24"/>
        </w:rPr>
        <w:t xml:space="preserve"> </w:t>
      </w:r>
      <w:hyperlink r:id="rId19">
        <w:r>
          <w:rPr>
            <w:color w:val="1154CC"/>
            <w:sz w:val="24"/>
            <w:szCs w:val="24"/>
            <w:u w:val="single"/>
          </w:rPr>
          <w:t>ra-personas-con-sordoceguera</w:t>
        </w:r>
      </w:hyperlink>
    </w:p>
    <w:p w14:paraId="1CC36E60" w14:textId="77777777" w:rsidR="005D7C36" w:rsidRDefault="005D7C36">
      <w:pPr>
        <w:pBdr>
          <w:top w:val="nil"/>
          <w:left w:val="nil"/>
          <w:bottom w:val="nil"/>
          <w:right w:val="nil"/>
          <w:between w:val="nil"/>
        </w:pBdr>
        <w:spacing w:before="38" w:line="360" w:lineRule="auto"/>
        <w:rPr>
          <w:color w:val="000000"/>
          <w:sz w:val="24"/>
          <w:szCs w:val="24"/>
        </w:rPr>
      </w:pPr>
    </w:p>
    <w:p w14:paraId="1CC36E61" w14:textId="77777777" w:rsidR="005D7C36" w:rsidRDefault="00EB7BB6">
      <w:pPr>
        <w:pBdr>
          <w:top w:val="nil"/>
          <w:left w:val="nil"/>
          <w:bottom w:val="nil"/>
          <w:right w:val="nil"/>
          <w:between w:val="nil"/>
        </w:pBdr>
        <w:spacing w:line="360" w:lineRule="auto"/>
        <w:ind w:left="308" w:hanging="285"/>
        <w:rPr>
          <w:color w:val="000000"/>
          <w:sz w:val="24"/>
          <w:szCs w:val="24"/>
        </w:rPr>
        <w:sectPr w:rsidR="005D7C36">
          <w:pgSz w:w="11920" w:h="16840"/>
          <w:pgMar w:top="1360" w:right="1417" w:bottom="280" w:left="1417" w:header="360" w:footer="360" w:gutter="0"/>
          <w:cols w:space="720"/>
        </w:sectPr>
      </w:pPr>
      <w:r>
        <w:rPr>
          <w:color w:val="000000"/>
          <w:sz w:val="24"/>
          <w:szCs w:val="24"/>
        </w:rPr>
        <w:t xml:space="preserve">Organización Mundial de la Salud &amp; Banco Mundial. (2011). Informe mundial sobre la discapacidad. OMS. </w:t>
      </w:r>
      <w:hyperlink r:id="rId20">
        <w:r>
          <w:rPr>
            <w:color w:val="1154CC"/>
            <w:sz w:val="24"/>
            <w:szCs w:val="24"/>
            <w:u w:val="single"/>
          </w:rPr>
          <w:t>https://www.who.int/disabilities/world_report/2011/es/</w:t>
        </w:r>
      </w:hyperlink>
    </w:p>
    <w:p w14:paraId="1CC36E62" w14:textId="77777777" w:rsidR="005D7C36" w:rsidRDefault="00EB7BB6">
      <w:pPr>
        <w:pBdr>
          <w:top w:val="nil"/>
          <w:left w:val="nil"/>
          <w:bottom w:val="nil"/>
          <w:right w:val="nil"/>
          <w:between w:val="nil"/>
        </w:pBdr>
        <w:tabs>
          <w:tab w:val="left" w:pos="2836"/>
          <w:tab w:val="left" w:pos="4754"/>
          <w:tab w:val="left" w:pos="6109"/>
          <w:tab w:val="left" w:pos="7853"/>
        </w:tabs>
        <w:spacing w:before="80" w:line="360" w:lineRule="auto"/>
        <w:ind w:left="308" w:right="45" w:hanging="285"/>
        <w:rPr>
          <w:color w:val="000000"/>
          <w:sz w:val="24"/>
          <w:szCs w:val="24"/>
        </w:rPr>
      </w:pPr>
      <w:r>
        <w:rPr>
          <w:color w:val="000000"/>
          <w:sz w:val="24"/>
          <w:szCs w:val="24"/>
        </w:rPr>
        <w:lastRenderedPageBreak/>
        <w:t>Papazafiri, M., et al. (2021). Investigating potential tactile strategies of students with deafblindness.</w:t>
      </w:r>
      <w:r>
        <w:rPr>
          <w:color w:val="000000"/>
          <w:sz w:val="24"/>
          <w:szCs w:val="24"/>
        </w:rPr>
        <w:tab/>
        <w:t>[Artículo</w:t>
      </w:r>
      <w:r>
        <w:rPr>
          <w:color w:val="000000"/>
          <w:sz w:val="24"/>
          <w:szCs w:val="24"/>
        </w:rPr>
        <w:tab/>
        <w:t>en</w:t>
      </w:r>
      <w:r>
        <w:rPr>
          <w:color w:val="000000"/>
          <w:sz w:val="24"/>
          <w:szCs w:val="24"/>
        </w:rPr>
        <w:tab/>
        <w:t>revista</w:t>
      </w:r>
      <w:r>
        <w:rPr>
          <w:color w:val="000000"/>
          <w:sz w:val="24"/>
          <w:szCs w:val="24"/>
        </w:rPr>
        <w:tab/>
        <w:t xml:space="preserve">académica]. </w:t>
      </w:r>
      <w:hyperlink r:id="rId21">
        <w:r>
          <w:rPr>
            <w:color w:val="1154CC"/>
            <w:sz w:val="24"/>
            <w:szCs w:val="24"/>
            <w:u w:val="single"/>
          </w:rPr>
          <w:t>https://onlinelibrary.wiley.com/doi/full/10.1111/1471-3802.12746</w:t>
        </w:r>
      </w:hyperlink>
    </w:p>
    <w:p w14:paraId="1CC36E63" w14:textId="77777777" w:rsidR="005D7C36" w:rsidRDefault="005D7C36">
      <w:pPr>
        <w:pBdr>
          <w:top w:val="nil"/>
          <w:left w:val="nil"/>
          <w:bottom w:val="nil"/>
          <w:right w:val="nil"/>
          <w:between w:val="nil"/>
        </w:pBdr>
        <w:spacing w:before="37" w:line="360" w:lineRule="auto"/>
        <w:rPr>
          <w:color w:val="000000"/>
          <w:sz w:val="24"/>
          <w:szCs w:val="24"/>
        </w:rPr>
      </w:pPr>
    </w:p>
    <w:p w14:paraId="1CC36E64" w14:textId="77777777" w:rsidR="005D7C36" w:rsidRDefault="00EB7BB6">
      <w:pPr>
        <w:pBdr>
          <w:top w:val="nil"/>
          <w:left w:val="nil"/>
          <w:bottom w:val="nil"/>
          <w:right w:val="nil"/>
          <w:between w:val="nil"/>
        </w:pBdr>
        <w:spacing w:before="1" w:line="360" w:lineRule="auto"/>
        <w:ind w:left="308" w:right="41" w:hanging="285"/>
        <w:rPr>
          <w:color w:val="000000"/>
          <w:sz w:val="24"/>
          <w:szCs w:val="24"/>
        </w:rPr>
      </w:pPr>
      <w:r>
        <w:rPr>
          <w:color w:val="000000"/>
          <w:sz w:val="24"/>
          <w:szCs w:val="24"/>
        </w:rPr>
        <w:t xml:space="preserve">Reed, C. M. (1985). Research on the Tadoma method of speech communication. The Journal of the Acoustical Society of America, 77(1), 247-257. </w:t>
      </w:r>
      <w:hyperlink r:id="rId22">
        <w:r>
          <w:rPr>
            <w:color w:val="1154CC"/>
            <w:sz w:val="24"/>
            <w:szCs w:val="24"/>
            <w:u w:val="single"/>
          </w:rPr>
          <w:t>https://pubmed.ncbi.nlm.nih.gov/3973218/</w:t>
        </w:r>
      </w:hyperlink>
    </w:p>
    <w:p w14:paraId="1CC36E65" w14:textId="77777777" w:rsidR="005D7C36" w:rsidRDefault="005D7C36">
      <w:pPr>
        <w:pBdr>
          <w:top w:val="nil"/>
          <w:left w:val="nil"/>
          <w:bottom w:val="nil"/>
          <w:right w:val="nil"/>
          <w:between w:val="nil"/>
        </w:pBdr>
        <w:spacing w:before="37" w:line="360" w:lineRule="auto"/>
        <w:rPr>
          <w:color w:val="000000"/>
          <w:sz w:val="24"/>
          <w:szCs w:val="24"/>
        </w:rPr>
      </w:pPr>
    </w:p>
    <w:p w14:paraId="1CC36E66" w14:textId="77777777" w:rsidR="005D7C36" w:rsidRDefault="00EB7BB6">
      <w:pPr>
        <w:pBdr>
          <w:top w:val="nil"/>
          <w:left w:val="nil"/>
          <w:bottom w:val="nil"/>
          <w:right w:val="nil"/>
          <w:between w:val="nil"/>
        </w:pBdr>
        <w:spacing w:before="1" w:line="360" w:lineRule="auto"/>
        <w:ind w:left="308" w:right="41" w:hanging="285"/>
        <w:rPr>
          <w:color w:val="000000"/>
          <w:sz w:val="24"/>
          <w:szCs w:val="24"/>
        </w:rPr>
      </w:pPr>
      <w:r>
        <w:rPr>
          <w:color w:val="000000"/>
          <w:sz w:val="24"/>
          <w:szCs w:val="24"/>
        </w:rPr>
        <w:t xml:space="preserve">Reed, C. M. (1989). Analytic study of the Tadoma method. Journal of Speech and Hearing Research. </w:t>
      </w:r>
      <w:hyperlink r:id="rId23">
        <w:r>
          <w:rPr>
            <w:color w:val="1154CC"/>
            <w:sz w:val="24"/>
            <w:szCs w:val="24"/>
            <w:u w:val="single"/>
          </w:rPr>
          <w:t>https://doi.org/10.1044/jshr.3204.921</w:t>
        </w:r>
      </w:hyperlink>
    </w:p>
    <w:p w14:paraId="1CC36E67" w14:textId="77777777" w:rsidR="005D7C36" w:rsidRDefault="005D7C36">
      <w:pPr>
        <w:pBdr>
          <w:top w:val="nil"/>
          <w:left w:val="nil"/>
          <w:bottom w:val="nil"/>
          <w:right w:val="nil"/>
          <w:between w:val="nil"/>
        </w:pBdr>
        <w:spacing w:before="37" w:line="360" w:lineRule="auto"/>
        <w:rPr>
          <w:color w:val="000000"/>
          <w:sz w:val="24"/>
          <w:szCs w:val="24"/>
        </w:rPr>
      </w:pPr>
    </w:p>
    <w:p w14:paraId="1CC36E68" w14:textId="77777777" w:rsidR="005D7C36" w:rsidRDefault="00EB7BB6">
      <w:pPr>
        <w:pBdr>
          <w:top w:val="nil"/>
          <w:left w:val="nil"/>
          <w:bottom w:val="nil"/>
          <w:right w:val="nil"/>
          <w:between w:val="nil"/>
        </w:pBdr>
        <w:spacing w:before="1" w:line="360" w:lineRule="auto"/>
        <w:ind w:left="308" w:right="41" w:hanging="285"/>
        <w:rPr>
          <w:color w:val="000000"/>
          <w:sz w:val="24"/>
          <w:szCs w:val="24"/>
        </w:rPr>
      </w:pPr>
      <w:r>
        <w:rPr>
          <w:color w:val="000000"/>
          <w:sz w:val="24"/>
          <w:szCs w:val="24"/>
        </w:rPr>
        <w:t>Rødbroe, I., &amp; Janssen, M. (2018). Communication and congenital deafblindness: Contact and social interaction. University of Groningen Press</w:t>
      </w:r>
    </w:p>
    <w:p w14:paraId="1CC36E69" w14:textId="77777777" w:rsidR="005D7C36" w:rsidRDefault="00EB7BB6">
      <w:pPr>
        <w:spacing w:line="360" w:lineRule="auto"/>
        <w:ind w:left="23"/>
        <w:rPr>
          <w:sz w:val="24"/>
          <w:szCs w:val="24"/>
        </w:rPr>
      </w:pPr>
      <w:r>
        <w:rPr>
          <w:sz w:val="24"/>
          <w:szCs w:val="24"/>
        </w:rPr>
        <w:t>.</w:t>
      </w:r>
    </w:p>
    <w:p w14:paraId="1CC36E6A" w14:textId="77777777" w:rsidR="005D7C36" w:rsidRDefault="00EB7BB6">
      <w:pPr>
        <w:pBdr>
          <w:top w:val="nil"/>
          <w:left w:val="nil"/>
          <w:bottom w:val="nil"/>
          <w:right w:val="nil"/>
          <w:between w:val="nil"/>
        </w:pBdr>
        <w:spacing w:before="37" w:line="360" w:lineRule="auto"/>
        <w:ind w:left="308" w:hanging="285"/>
        <w:rPr>
          <w:color w:val="000000"/>
          <w:sz w:val="24"/>
          <w:szCs w:val="24"/>
        </w:rPr>
      </w:pPr>
      <w:r>
        <w:rPr>
          <w:color w:val="000000"/>
          <w:sz w:val="24"/>
          <w:szCs w:val="24"/>
        </w:rPr>
        <w:t xml:space="preserve">Rönnberg, J. (2001). A review and evaluation of research on the deaf-blind. [PubMed]. </w:t>
      </w:r>
      <w:hyperlink r:id="rId24">
        <w:r>
          <w:rPr>
            <w:color w:val="1154CC"/>
            <w:sz w:val="24"/>
            <w:szCs w:val="24"/>
            <w:u w:val="single"/>
          </w:rPr>
          <w:t>https://pubmed.ncbi.nlm.nih.gov/11409790/</w:t>
        </w:r>
      </w:hyperlink>
    </w:p>
    <w:p w14:paraId="1CC36E6B" w14:textId="77777777" w:rsidR="005D7C36" w:rsidRDefault="005D7C36">
      <w:pPr>
        <w:pBdr>
          <w:top w:val="nil"/>
          <w:left w:val="nil"/>
          <w:bottom w:val="nil"/>
          <w:right w:val="nil"/>
          <w:between w:val="nil"/>
        </w:pBdr>
        <w:spacing w:before="38" w:line="360" w:lineRule="auto"/>
        <w:rPr>
          <w:color w:val="000000"/>
          <w:sz w:val="24"/>
          <w:szCs w:val="24"/>
        </w:rPr>
      </w:pPr>
    </w:p>
    <w:p w14:paraId="1CC36E6C" w14:textId="77777777" w:rsidR="005D7C36" w:rsidRDefault="00EB7BB6">
      <w:pPr>
        <w:pBdr>
          <w:top w:val="nil"/>
          <w:left w:val="nil"/>
          <w:bottom w:val="nil"/>
          <w:right w:val="nil"/>
          <w:between w:val="nil"/>
        </w:pBdr>
        <w:tabs>
          <w:tab w:val="left" w:pos="3813"/>
          <w:tab w:val="left" w:pos="6203"/>
          <w:tab w:val="left" w:pos="8521"/>
        </w:tabs>
        <w:spacing w:line="360" w:lineRule="auto"/>
        <w:ind w:left="308" w:right="37" w:hanging="285"/>
        <w:rPr>
          <w:color w:val="000000"/>
          <w:sz w:val="24"/>
          <w:szCs w:val="24"/>
        </w:rPr>
      </w:pPr>
      <w:r>
        <w:rPr>
          <w:color w:val="000000"/>
          <w:sz w:val="24"/>
          <w:szCs w:val="24"/>
        </w:rPr>
        <w:t>Sense Internacional Perú. (2017). Estudio sobre la caracterización de personas con sordoceguera</w:t>
      </w:r>
      <w:r>
        <w:rPr>
          <w:color w:val="000000"/>
          <w:sz w:val="24"/>
          <w:szCs w:val="24"/>
        </w:rPr>
        <w:tab/>
        <w:t>en</w:t>
      </w:r>
      <w:r>
        <w:rPr>
          <w:color w:val="000000"/>
          <w:sz w:val="24"/>
          <w:szCs w:val="24"/>
        </w:rPr>
        <w:tab/>
        <w:t>el</w:t>
      </w:r>
      <w:r>
        <w:rPr>
          <w:color w:val="000000"/>
          <w:sz w:val="24"/>
          <w:szCs w:val="24"/>
        </w:rPr>
        <w:tab/>
        <w:t xml:space="preserve">Perú. </w:t>
      </w:r>
      <w:hyperlink r:id="rId25">
        <w:r>
          <w:rPr>
            <w:color w:val="1154CC"/>
            <w:sz w:val="24"/>
            <w:szCs w:val="24"/>
            <w:u w:val="single"/>
          </w:rPr>
          <w:t>https://deafblindness.info/es/resource/estudio-sobre-la-caracterizacion-de-personas-con-s</w:t>
        </w:r>
      </w:hyperlink>
      <w:r>
        <w:rPr>
          <w:color w:val="1154CC"/>
          <w:sz w:val="24"/>
          <w:szCs w:val="24"/>
        </w:rPr>
        <w:t xml:space="preserve"> </w:t>
      </w:r>
      <w:hyperlink r:id="rId26">
        <w:r>
          <w:rPr>
            <w:color w:val="1154CC"/>
            <w:sz w:val="24"/>
            <w:szCs w:val="24"/>
            <w:u w:val="single"/>
          </w:rPr>
          <w:t>ordoceguera-en-el-peru/</w:t>
        </w:r>
      </w:hyperlink>
    </w:p>
    <w:p w14:paraId="1CC36E6D" w14:textId="77777777" w:rsidR="005D7C36" w:rsidRDefault="005D7C36">
      <w:pPr>
        <w:pBdr>
          <w:top w:val="nil"/>
          <w:left w:val="nil"/>
          <w:bottom w:val="nil"/>
          <w:right w:val="nil"/>
          <w:between w:val="nil"/>
        </w:pBdr>
        <w:spacing w:before="38" w:line="360" w:lineRule="auto"/>
        <w:rPr>
          <w:color w:val="000000"/>
          <w:sz w:val="24"/>
          <w:szCs w:val="24"/>
        </w:rPr>
      </w:pPr>
    </w:p>
    <w:p w14:paraId="1CC36E6E" w14:textId="77777777" w:rsidR="005D7C36" w:rsidRDefault="00EB7BB6">
      <w:pPr>
        <w:pBdr>
          <w:top w:val="nil"/>
          <w:left w:val="nil"/>
          <w:bottom w:val="nil"/>
          <w:right w:val="nil"/>
          <w:between w:val="nil"/>
        </w:pBdr>
        <w:spacing w:line="360" w:lineRule="auto"/>
        <w:ind w:left="308" w:right="44" w:hanging="285"/>
        <w:rPr>
          <w:color w:val="000000"/>
          <w:sz w:val="24"/>
          <w:szCs w:val="24"/>
        </w:rPr>
      </w:pPr>
      <w:r>
        <w:rPr>
          <w:color w:val="000000"/>
          <w:sz w:val="24"/>
          <w:szCs w:val="24"/>
        </w:rPr>
        <w:t xml:space="preserve">Sense International. (s. f.). Tadoma: Comunicación que se siente – Guía de fácil lectura. </w:t>
      </w:r>
      <w:hyperlink r:id="rId27">
        <w:r>
          <w:rPr>
            <w:color w:val="1154CC"/>
            <w:sz w:val="24"/>
            <w:szCs w:val="24"/>
            <w:u w:val="single"/>
          </w:rPr>
          <w:t>https://deafblindness.info/es/resource/tadoma-comunicacion-que-se-siente-guia-de-facil-l</w:t>
        </w:r>
      </w:hyperlink>
      <w:r>
        <w:rPr>
          <w:color w:val="1154CC"/>
          <w:sz w:val="24"/>
          <w:szCs w:val="24"/>
        </w:rPr>
        <w:t xml:space="preserve"> </w:t>
      </w:r>
      <w:hyperlink r:id="rId28">
        <w:r>
          <w:rPr>
            <w:color w:val="1154CC"/>
            <w:sz w:val="24"/>
            <w:szCs w:val="24"/>
            <w:u w:val="single"/>
          </w:rPr>
          <w:t>ectura/</w:t>
        </w:r>
      </w:hyperlink>
    </w:p>
    <w:p w14:paraId="1CC36E6F" w14:textId="77777777" w:rsidR="005D7C36" w:rsidRDefault="005D7C36">
      <w:pPr>
        <w:pBdr>
          <w:top w:val="nil"/>
          <w:left w:val="nil"/>
          <w:bottom w:val="nil"/>
          <w:right w:val="nil"/>
          <w:between w:val="nil"/>
        </w:pBdr>
        <w:spacing w:before="38" w:line="360" w:lineRule="auto"/>
        <w:rPr>
          <w:color w:val="000000"/>
          <w:sz w:val="24"/>
          <w:szCs w:val="24"/>
        </w:rPr>
      </w:pPr>
    </w:p>
    <w:p w14:paraId="1CC36E70" w14:textId="77777777" w:rsidR="005D7C36" w:rsidRDefault="00EB7BB6">
      <w:pPr>
        <w:pBdr>
          <w:top w:val="nil"/>
          <w:left w:val="nil"/>
          <w:bottom w:val="nil"/>
          <w:right w:val="nil"/>
          <w:between w:val="nil"/>
        </w:pBdr>
        <w:spacing w:line="360" w:lineRule="auto"/>
        <w:ind w:left="308" w:right="45" w:hanging="285"/>
        <w:rPr>
          <w:color w:val="000000"/>
          <w:sz w:val="24"/>
          <w:szCs w:val="24"/>
        </w:rPr>
      </w:pPr>
      <w:r>
        <w:rPr>
          <w:color w:val="000000"/>
          <w:sz w:val="24"/>
          <w:szCs w:val="24"/>
        </w:rPr>
        <w:t xml:space="preserve">World Federation of the DeafBlind. (2018). At risk of exclusion from CRPD and SDGs implementation: The situation of persons with deafblindness. </w:t>
      </w:r>
      <w:hyperlink r:id="rId29">
        <w:r>
          <w:rPr>
            <w:color w:val="1154CC"/>
            <w:sz w:val="24"/>
            <w:szCs w:val="24"/>
            <w:u w:val="single"/>
          </w:rPr>
          <w:t>https://wfdb.eu/</w:t>
        </w:r>
      </w:hyperlink>
    </w:p>
    <w:p w14:paraId="1CC36E71" w14:textId="77777777" w:rsidR="005D7C36" w:rsidRDefault="005D7C36">
      <w:pPr>
        <w:pBdr>
          <w:top w:val="nil"/>
          <w:left w:val="nil"/>
          <w:bottom w:val="nil"/>
          <w:right w:val="nil"/>
          <w:between w:val="nil"/>
        </w:pBdr>
        <w:spacing w:before="38" w:line="360" w:lineRule="auto"/>
        <w:rPr>
          <w:color w:val="000000"/>
          <w:sz w:val="24"/>
          <w:szCs w:val="24"/>
        </w:rPr>
      </w:pPr>
    </w:p>
    <w:p w14:paraId="1CC36E72" w14:textId="77777777" w:rsidR="005D7C36" w:rsidRDefault="00EB7BB6">
      <w:pPr>
        <w:pBdr>
          <w:top w:val="nil"/>
          <w:left w:val="nil"/>
          <w:bottom w:val="nil"/>
          <w:right w:val="nil"/>
          <w:between w:val="nil"/>
        </w:pBdr>
        <w:tabs>
          <w:tab w:val="left" w:pos="4160"/>
          <w:tab w:val="left" w:pos="7582"/>
        </w:tabs>
        <w:spacing w:line="360" w:lineRule="auto"/>
        <w:ind w:left="308" w:right="37" w:hanging="285"/>
        <w:rPr>
          <w:color w:val="000000"/>
          <w:sz w:val="24"/>
          <w:szCs w:val="24"/>
        </w:rPr>
      </w:pPr>
      <w:r>
        <w:rPr>
          <w:color w:val="000000"/>
          <w:sz w:val="24"/>
          <w:szCs w:val="24"/>
        </w:rPr>
        <w:t>World Federation of the DeafBlind. (2023). Second Global Report on the Situation of Persons</w:t>
      </w:r>
      <w:r>
        <w:rPr>
          <w:color w:val="000000"/>
          <w:sz w:val="24"/>
          <w:szCs w:val="24"/>
        </w:rPr>
        <w:tab/>
        <w:t>with</w:t>
      </w:r>
      <w:r>
        <w:rPr>
          <w:color w:val="000000"/>
          <w:sz w:val="24"/>
          <w:szCs w:val="24"/>
        </w:rPr>
        <w:tab/>
        <w:t xml:space="preserve">Deafblindness. </w:t>
      </w:r>
      <w:hyperlink r:id="rId30">
        <w:r>
          <w:rPr>
            <w:color w:val="1154CC"/>
            <w:sz w:val="24"/>
            <w:szCs w:val="24"/>
            <w:u w:val="single"/>
          </w:rPr>
          <w:t>https://wfdb.eu/wp-content/uploads/2023/03/ENG_WFDB-2nd-Global-Report_-FINAL-V6.</w:t>
        </w:r>
      </w:hyperlink>
      <w:r>
        <w:rPr>
          <w:color w:val="1154CC"/>
          <w:sz w:val="24"/>
          <w:szCs w:val="24"/>
        </w:rPr>
        <w:t xml:space="preserve"> </w:t>
      </w:r>
      <w:hyperlink r:id="rId31">
        <w:r>
          <w:rPr>
            <w:color w:val="1154CC"/>
            <w:sz w:val="24"/>
            <w:szCs w:val="24"/>
            <w:u w:val="single"/>
          </w:rPr>
          <w:t>pdf</w:t>
        </w:r>
      </w:hyperlink>
    </w:p>
    <w:p w14:paraId="1CC36E73" w14:textId="77777777" w:rsidR="005D7C36" w:rsidRDefault="005D7C36">
      <w:pPr>
        <w:pBdr>
          <w:top w:val="nil"/>
          <w:left w:val="nil"/>
          <w:bottom w:val="nil"/>
          <w:right w:val="nil"/>
          <w:between w:val="nil"/>
        </w:pBdr>
        <w:spacing w:before="38" w:line="360" w:lineRule="auto"/>
        <w:rPr>
          <w:color w:val="000000"/>
          <w:sz w:val="24"/>
          <w:szCs w:val="24"/>
        </w:rPr>
      </w:pPr>
    </w:p>
    <w:p w14:paraId="1CC36E74" w14:textId="77777777" w:rsidR="005D7C36" w:rsidRDefault="00EB7BB6">
      <w:pPr>
        <w:pBdr>
          <w:top w:val="nil"/>
          <w:left w:val="nil"/>
          <w:bottom w:val="nil"/>
          <w:right w:val="nil"/>
          <w:between w:val="nil"/>
        </w:pBdr>
        <w:tabs>
          <w:tab w:val="left" w:pos="8312"/>
        </w:tabs>
        <w:spacing w:line="360" w:lineRule="auto"/>
        <w:ind w:left="308" w:right="38" w:hanging="285"/>
        <w:rPr>
          <w:color w:val="000000"/>
          <w:sz w:val="24"/>
          <w:szCs w:val="24"/>
        </w:rPr>
      </w:pPr>
      <w:r>
        <w:rPr>
          <w:color w:val="000000"/>
          <w:sz w:val="24"/>
          <w:szCs w:val="24"/>
        </w:rPr>
        <w:t>Seligman, M. E. P. (2018). La vida que florece: La psicología positiva y la búsqueda del bienestar.</w:t>
      </w:r>
      <w:r>
        <w:rPr>
          <w:color w:val="000000"/>
          <w:sz w:val="24"/>
          <w:szCs w:val="24"/>
        </w:rPr>
        <w:tab/>
        <w:t>Paidós.</w:t>
      </w:r>
    </w:p>
    <w:p w14:paraId="1CC36E75" w14:textId="77777777" w:rsidR="005D7C36" w:rsidRDefault="00EB7BB6">
      <w:pPr>
        <w:pBdr>
          <w:top w:val="nil"/>
          <w:left w:val="nil"/>
          <w:bottom w:val="nil"/>
          <w:right w:val="nil"/>
          <w:between w:val="nil"/>
        </w:pBdr>
        <w:spacing w:line="360" w:lineRule="auto"/>
        <w:ind w:left="308"/>
        <w:rPr>
          <w:color w:val="000000"/>
          <w:sz w:val="24"/>
          <w:szCs w:val="24"/>
        </w:rPr>
      </w:pPr>
      <w:hyperlink r:id="rId32">
        <w:r>
          <w:rPr>
            <w:color w:val="1154CC"/>
            <w:sz w:val="24"/>
            <w:szCs w:val="24"/>
            <w:u w:val="single"/>
          </w:rPr>
          <w:t>https://www.casadellibro.com.co/libro-la-vida-que-florece/9788466649537/1884120</w:t>
        </w:r>
      </w:hyperlink>
    </w:p>
    <w:sectPr w:rsidR="005D7C36">
      <w:pgSz w:w="11920" w:h="16840"/>
      <w:pgMar w:top="1360" w:right="1417" w:bottom="280" w:left="1417"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65FC7375-4F5A-4AD4-9FB2-5432D083BB67}"/>
  </w:font>
  <w:font w:name="Calibri">
    <w:panose1 w:val="020F0502020204030204"/>
    <w:charset w:val="00"/>
    <w:family w:val="swiss"/>
    <w:pitch w:val="variable"/>
    <w:sig w:usb0="E4002EFF" w:usb1="C200247B" w:usb2="00000009" w:usb3="00000000" w:csb0="000001FF" w:csb1="00000000"/>
    <w:embedRegular r:id="rId2" w:fontKey="{20A99D46-8FE2-468F-AFED-92C3E9150448}"/>
  </w:font>
  <w:font w:name="Cambria">
    <w:panose1 w:val="02040503050406030204"/>
    <w:charset w:val="00"/>
    <w:family w:val="roman"/>
    <w:pitch w:val="variable"/>
    <w:sig w:usb0="E00006FF" w:usb1="420024FF" w:usb2="02000000" w:usb3="00000000" w:csb0="0000019F" w:csb1="00000000"/>
    <w:embedRegular r:id="rId3" w:fontKey="{80B8A201-E302-4861-8EC2-4304E6BDBB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36"/>
    <w:rsid w:val="00430FC5"/>
    <w:rsid w:val="005D7C36"/>
    <w:rsid w:val="008856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6DF4"/>
  <w15:docId w15:val="{BDACA93F-842E-4E9E-B65B-933F6122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3" w:hanging="358"/>
      <w:outlineLvl w:val="0"/>
    </w:pPr>
    <w:rPr>
      <w:b/>
      <w:bCs/>
      <w:sz w:val="28"/>
      <w:szCs w:val="28"/>
    </w:rPr>
  </w:style>
  <w:style w:type="paragraph" w:styleId="Heading2">
    <w:name w:val="heading 2"/>
    <w:basedOn w:val="Normal"/>
    <w:next w:val="Normal"/>
    <w:uiPriority w:val="9"/>
    <w:unhideWhenUsed/>
    <w:qFormat/>
    <w:pPr>
      <w:ind w:left="741" w:hanging="358"/>
      <w:outlineLvl w:val="1"/>
    </w:pPr>
    <w:rPr>
      <w:b/>
      <w:bCs/>
      <w:sz w:val="26"/>
      <w:szCs w:val="26"/>
    </w:rPr>
  </w:style>
  <w:style w:type="paragraph" w:styleId="Heading3">
    <w:name w:val="heading 3"/>
    <w:basedOn w:val="Normal"/>
    <w:next w:val="Normal"/>
    <w:uiPriority w:val="9"/>
    <w:unhideWhenUsed/>
    <w:qFormat/>
    <w:pPr>
      <w:ind w:left="89" w:right="2735"/>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202"/>
      <w:jc w:val="center"/>
    </w:pPr>
    <w:rPr>
      <w:b/>
      <w:bCs/>
      <w:sz w:val="42"/>
      <w:szCs w:val="4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90/virtualworlds3020010" TargetMode="External"/><Relationship Id="rId18" Type="http://schemas.openxmlformats.org/officeDocument/2006/relationships/hyperlink" Target="https://www.gob.pe/institucion/minedu/informes-publicaciones/5878479-guia-interprete-para-personas-con-sordoceguera" TargetMode="External"/><Relationship Id="rId26" Type="http://schemas.openxmlformats.org/officeDocument/2006/relationships/hyperlink" Target="https://deafblindness.info/es/resource/estudio-sobre-la-caracterizacion-de-personas-con-sordoceguera-en-el-peru/" TargetMode="External"/><Relationship Id="rId3" Type="http://schemas.openxmlformats.org/officeDocument/2006/relationships/webSettings" Target="webSettings.xml"/><Relationship Id="rId21" Type="http://schemas.openxmlformats.org/officeDocument/2006/relationships/hyperlink" Target="https://onlinelibrary.wiley.com/doi/full/10.1111/1471-3802.12746" TargetMode="External"/><Relationship Id="rId34" Type="http://schemas.openxmlformats.org/officeDocument/2006/relationships/theme" Target="theme/theme1.xml"/><Relationship Id="rId7" Type="http://schemas.openxmlformats.org/officeDocument/2006/relationships/hyperlink" Target="https://doi.org/10.1016/j.ridd.2016.05.010" TargetMode="External"/><Relationship Id="rId12" Type="http://schemas.openxmlformats.org/officeDocument/2006/relationships/hyperlink" Target="https://doi.org/10.3389/feduc.2020.00157" TargetMode="External"/><Relationship Id="rId17" Type="http://schemas.openxmlformats.org/officeDocument/2006/relationships/hyperlink" Target="https://www.nationaldb.org/" TargetMode="External"/><Relationship Id="rId25" Type="http://schemas.openxmlformats.org/officeDocument/2006/relationships/hyperlink" Target="https://deafblindness.info/es/resource/estudio-sobre-la-caracterizacion-de-personas-con-sordoceguera-en-el-peru/"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5212/PraxEduc.v.16.17435.025" TargetMode="External"/><Relationship Id="rId20" Type="http://schemas.openxmlformats.org/officeDocument/2006/relationships/hyperlink" Target="https://www.who.int/disabilities/world_report/2011/es/" TargetMode="External"/><Relationship Id="rId29" Type="http://schemas.openxmlformats.org/officeDocument/2006/relationships/hyperlink" Target="https://wfdb.eu/" TargetMode="External"/><Relationship Id="rId1" Type="http://schemas.openxmlformats.org/officeDocument/2006/relationships/styles" Target="styles.xml"/><Relationship Id="rId6" Type="http://schemas.openxmlformats.org/officeDocument/2006/relationships/hyperlink" Target="https://www.gob.pe/institucion/congreso-de-la-republica/normas-legales/276093-29524" TargetMode="External"/><Relationship Id="rId11" Type="http://schemas.openxmlformats.org/officeDocument/2006/relationships/hyperlink" Target="https://deafblindness.info/es/resource/formas-de-comunicarse-con-una-persona-con-sordoceguera/" TargetMode="External"/><Relationship Id="rId24" Type="http://schemas.openxmlformats.org/officeDocument/2006/relationships/hyperlink" Target="https://pubmed.ncbi.nlm.nih.gov/11409790/" TargetMode="External"/><Relationship Id="rId32" Type="http://schemas.openxmlformats.org/officeDocument/2006/relationships/hyperlink" Target="https://www.casadellibro.com.co/libro-la-vida-que-florece/9788466649537/1884120" TargetMode="External"/><Relationship Id="rId5" Type="http://schemas.openxmlformats.org/officeDocument/2006/relationships/hyperlink" Target="https://doi.org/10.1093/deafed/enx025" TargetMode="External"/><Relationship Id="rId15" Type="http://schemas.openxmlformats.org/officeDocument/2006/relationships/hyperlink" Target="https://aiamswp.org.in/wp-content/uploads/2025/05/Volume-6-Issue-2-July-December-2024-21-29.pdf" TargetMode="External"/><Relationship Id="rId23" Type="http://schemas.openxmlformats.org/officeDocument/2006/relationships/hyperlink" Target="https://doi.org/10.1044/jshr.3204.921" TargetMode="External"/><Relationship Id="rId28" Type="http://schemas.openxmlformats.org/officeDocument/2006/relationships/hyperlink" Target="https://deafblindness.info/es/resource/tadoma-comunicacion-que-se-siente-guia-de-facil-lectura/" TargetMode="External"/><Relationship Id="rId10" Type="http://schemas.openxmlformats.org/officeDocument/2006/relationships/hyperlink" Target="https://deafblindness.info/es/resource/formas-de-comunicarse-con-una-persona-con-sordoceguera/" TargetMode="External"/><Relationship Id="rId19" Type="http://schemas.openxmlformats.org/officeDocument/2006/relationships/hyperlink" Target="https://www.gob.pe/institucion/minedu/informes-publicaciones/5878479-guia-interprete-para-personas-con-sordoceguera" TargetMode="External"/><Relationship Id="rId31" Type="http://schemas.openxmlformats.org/officeDocument/2006/relationships/hyperlink" Target="https://wfdb.eu/wp-content/uploads/2023/03/ENG_WFDB-2nd-Global-Report_-FINAL-V6.pdf" TargetMode="External"/><Relationship Id="rId4" Type="http://schemas.openxmlformats.org/officeDocument/2006/relationships/hyperlink" Target="https://www.frontiersin.org/articles/10.3389/fpsyg.2024.1102206/full" TargetMode="External"/><Relationship Id="rId9" Type="http://schemas.openxmlformats.org/officeDocument/2006/relationships/hyperlink" Target="https://deafblindness.info/wp-content/uploads/2021/11/Manual-de-Sordoceguera-2012.pdf" TargetMode="External"/><Relationship Id="rId14" Type="http://schemas.openxmlformats.org/officeDocument/2006/relationships/hyperlink" Target="https://aiamswp.org.in/wp-content/uploads/2025/05/Volume-6-Issue-2-July-December-2024-21-29.pdf" TargetMode="External"/><Relationship Id="rId22" Type="http://schemas.openxmlformats.org/officeDocument/2006/relationships/hyperlink" Target="https://pubmed.ncbi.nlm.nih.gov/3973218/" TargetMode="External"/><Relationship Id="rId27" Type="http://schemas.openxmlformats.org/officeDocument/2006/relationships/hyperlink" Target="https://deafblindness.info/es/resource/tadoma-comunicacion-que-se-siente-guia-de-facil-lectura/" TargetMode="External"/><Relationship Id="rId30" Type="http://schemas.openxmlformats.org/officeDocument/2006/relationships/hyperlink" Target="https://wfdb.eu/wp-content/uploads/2023/03/ENG_WFDB-2nd-Global-Report_-FINAL-V6.pdf" TargetMode="External"/><Relationship Id="rId8" Type="http://schemas.openxmlformats.org/officeDocument/2006/relationships/hyperlink" Target="https://wfdb.e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3949</Words>
  <Characters>22514</Characters>
  <Application>Microsoft Office Word</Application>
  <DocSecurity>2</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26411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2</cp:revision>
  <dcterms:created xsi:type="dcterms:W3CDTF">2026-03-16T16:07:00Z</dcterms:created>
  <dcterms:modified xsi:type="dcterms:W3CDTF">2026-03-16T16:07:00Z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2026-02-28T00:00:00Z</vt:lpwstr>
  </property>
  <property fmtid="{D5CDD505-2E9C-101B-9397-08002B2CF9AE}" pid="3" name="Producer">
    <vt:lpwstr>Skia/PDF m145 Google Docs Renderer</vt:lpwstr>
  </property>
  <property fmtid="{D5CDD505-2E9C-101B-9397-08002B2CF9AE}" pid="4" name="LastSaved">
    <vt:lpwstr>2026-02-28T00:00:00Z</vt:lpwstr>
  </property>
</Properties>
</file>