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D195E" w:rsidRDefault="00000000">
      <w:pPr>
        <w:pStyle w:val="Title"/>
        <w:rPr>
          <w:b w:val="0"/>
          <w:bCs w:val="0"/>
        </w:rPr>
      </w:pPr>
      <w:r>
        <w:rPr>
          <w:b w:val="0"/>
          <w:bCs w:val="0"/>
        </w:rPr>
        <w:t>Manos que guían, educación que se siente: La labor docente en la atención al estudiante con sordoceguera</w:t>
      </w:r>
    </w:p>
    <w:p w14:paraId="00000002" w14:textId="77777777" w:rsidR="00ED195E" w:rsidRDefault="00ED195E">
      <w:pPr>
        <w:pBdr>
          <w:top w:val="nil"/>
          <w:left w:val="nil"/>
          <w:bottom w:val="nil"/>
          <w:right w:val="nil"/>
          <w:between w:val="nil"/>
        </w:pBdr>
        <w:spacing w:before="276" w:line="360" w:lineRule="auto"/>
        <w:rPr>
          <w:color w:val="000000"/>
          <w:sz w:val="24"/>
          <w:szCs w:val="24"/>
        </w:rPr>
      </w:pPr>
    </w:p>
    <w:p w14:paraId="00000003" w14:textId="77777777" w:rsidR="00ED195E" w:rsidRDefault="00000000">
      <w:pPr>
        <w:pBdr>
          <w:top w:val="nil"/>
          <w:left w:val="nil"/>
          <w:bottom w:val="nil"/>
          <w:right w:val="nil"/>
          <w:between w:val="nil"/>
        </w:pBdr>
        <w:spacing w:before="1" w:line="360" w:lineRule="auto"/>
        <w:rPr>
          <w:color w:val="000000"/>
          <w:sz w:val="24"/>
          <w:szCs w:val="24"/>
        </w:rPr>
      </w:pPr>
      <w:r>
        <w:rPr>
          <w:color w:val="000000"/>
          <w:sz w:val="24"/>
          <w:szCs w:val="24"/>
        </w:rPr>
        <w:t>Presentado por:</w:t>
      </w:r>
    </w:p>
    <w:p w14:paraId="00000004" w14:textId="77777777" w:rsidR="00ED195E" w:rsidRDefault="00000000">
      <w:pPr>
        <w:pBdr>
          <w:top w:val="nil"/>
          <w:left w:val="nil"/>
          <w:bottom w:val="nil"/>
          <w:right w:val="nil"/>
          <w:between w:val="nil"/>
        </w:pBdr>
        <w:spacing w:before="238" w:line="360" w:lineRule="auto"/>
        <w:rPr>
          <w:color w:val="000000"/>
          <w:sz w:val="24"/>
          <w:szCs w:val="24"/>
        </w:rPr>
      </w:pPr>
      <w:r>
        <w:rPr>
          <w:color w:val="000000"/>
          <w:sz w:val="24"/>
          <w:szCs w:val="24"/>
        </w:rPr>
        <w:t>Gabriela Jacqueline Unocc Paredes</w:t>
      </w:r>
    </w:p>
    <w:p w14:paraId="00000005" w14:textId="77777777" w:rsidR="00ED195E" w:rsidRDefault="00000000">
      <w:pPr>
        <w:spacing w:before="37" w:line="360" w:lineRule="auto"/>
        <w:rPr>
          <w:sz w:val="24"/>
          <w:szCs w:val="24"/>
        </w:rPr>
      </w:pPr>
      <w:r>
        <w:rPr>
          <w:sz w:val="24"/>
          <w:szCs w:val="24"/>
        </w:rPr>
        <w:t>Estudiante de X ciclo matriculada en el Semestre 2025-II</w:t>
      </w:r>
    </w:p>
    <w:p w14:paraId="00000006" w14:textId="77777777" w:rsidR="00ED195E" w:rsidRDefault="00000000">
      <w:pPr>
        <w:pBdr>
          <w:top w:val="nil"/>
          <w:left w:val="nil"/>
          <w:bottom w:val="nil"/>
          <w:right w:val="nil"/>
          <w:between w:val="nil"/>
        </w:pBdr>
        <w:spacing w:before="38" w:line="360" w:lineRule="auto"/>
        <w:ind w:right="4277"/>
        <w:rPr>
          <w:color w:val="000000"/>
          <w:sz w:val="24"/>
          <w:szCs w:val="24"/>
        </w:rPr>
      </w:pPr>
      <w:r>
        <w:rPr>
          <w:color w:val="000000"/>
          <w:sz w:val="24"/>
          <w:szCs w:val="24"/>
        </w:rPr>
        <w:t xml:space="preserve">Universidad Femenina del Sagrado Corazón Escuela Profesional de Educación Especial </w:t>
      </w:r>
      <w:hyperlink r:id="rId4">
        <w:r>
          <w:rPr>
            <w:color w:val="000000"/>
            <w:sz w:val="24"/>
            <w:szCs w:val="24"/>
          </w:rPr>
          <w:t>gabriela.unoccp@unife</w:t>
        </w:r>
      </w:hyperlink>
      <w:r>
        <w:rPr>
          <w:color w:val="000000"/>
          <w:sz w:val="24"/>
          <w:szCs w:val="24"/>
        </w:rPr>
        <w:t>.pe</w:t>
      </w:r>
    </w:p>
    <w:p w14:paraId="00000007" w14:textId="77777777" w:rsidR="00ED195E" w:rsidRDefault="00ED195E">
      <w:pPr>
        <w:pBdr>
          <w:top w:val="nil"/>
          <w:left w:val="nil"/>
          <w:bottom w:val="nil"/>
          <w:right w:val="nil"/>
          <w:between w:val="nil"/>
        </w:pBdr>
        <w:spacing w:line="360" w:lineRule="auto"/>
        <w:rPr>
          <w:color w:val="000000"/>
          <w:sz w:val="24"/>
          <w:szCs w:val="24"/>
        </w:rPr>
      </w:pPr>
    </w:p>
    <w:p w14:paraId="00000008" w14:textId="77777777" w:rsidR="00ED195E" w:rsidRDefault="00ED195E">
      <w:pPr>
        <w:pBdr>
          <w:top w:val="nil"/>
          <w:left w:val="nil"/>
          <w:bottom w:val="nil"/>
          <w:right w:val="nil"/>
          <w:between w:val="nil"/>
        </w:pBdr>
        <w:spacing w:before="185" w:line="360" w:lineRule="auto"/>
        <w:rPr>
          <w:color w:val="000000"/>
          <w:sz w:val="24"/>
          <w:szCs w:val="24"/>
        </w:rPr>
      </w:pPr>
    </w:p>
    <w:p w14:paraId="00000009" w14:textId="77777777" w:rsidR="00ED195E" w:rsidRDefault="00000000">
      <w:pPr>
        <w:pBdr>
          <w:top w:val="nil"/>
          <w:left w:val="nil"/>
          <w:bottom w:val="nil"/>
          <w:right w:val="nil"/>
          <w:between w:val="nil"/>
        </w:pBdr>
        <w:spacing w:line="360" w:lineRule="auto"/>
        <w:rPr>
          <w:color w:val="000000"/>
          <w:sz w:val="24"/>
          <w:szCs w:val="24"/>
        </w:rPr>
      </w:pPr>
      <w:r>
        <w:rPr>
          <w:color w:val="000000"/>
          <w:sz w:val="24"/>
          <w:szCs w:val="24"/>
        </w:rPr>
        <w:t>Avalado por:</w:t>
      </w:r>
    </w:p>
    <w:p w14:paraId="0000000A" w14:textId="77777777" w:rsidR="00ED195E" w:rsidRDefault="00000000">
      <w:pPr>
        <w:pBdr>
          <w:top w:val="nil"/>
          <w:left w:val="nil"/>
          <w:bottom w:val="nil"/>
          <w:right w:val="nil"/>
          <w:between w:val="nil"/>
        </w:pBdr>
        <w:spacing w:before="238" w:line="360" w:lineRule="auto"/>
        <w:rPr>
          <w:color w:val="000000"/>
          <w:sz w:val="24"/>
          <w:szCs w:val="24"/>
        </w:rPr>
      </w:pPr>
      <w:r>
        <w:rPr>
          <w:color w:val="000000"/>
          <w:sz w:val="24"/>
          <w:szCs w:val="24"/>
        </w:rPr>
        <w:t>John Williams Hinojosa Yampi</w:t>
      </w:r>
    </w:p>
    <w:p w14:paraId="0000000B" w14:textId="77777777" w:rsidR="00ED195E" w:rsidRDefault="00000000">
      <w:pPr>
        <w:spacing w:before="38" w:line="360" w:lineRule="auto"/>
        <w:ind w:right="4277"/>
        <w:rPr>
          <w:sz w:val="24"/>
          <w:szCs w:val="24"/>
        </w:rPr>
      </w:pPr>
      <w:r>
        <w:rPr>
          <w:sz w:val="24"/>
          <w:szCs w:val="24"/>
        </w:rPr>
        <w:t xml:space="preserve">Docente de la asignatura “Sistema Braille” Universidad Femenina del Sagrado Corazón </w:t>
      </w:r>
      <w:hyperlink r:id="rId5">
        <w:r>
          <w:rPr>
            <w:sz w:val="24"/>
            <w:szCs w:val="24"/>
          </w:rPr>
          <w:t>jhinojosay@unife.edu.pe</w:t>
        </w:r>
      </w:hyperlink>
    </w:p>
    <w:p w14:paraId="0000000C" w14:textId="77777777" w:rsidR="00ED195E" w:rsidRDefault="00ED195E">
      <w:pPr>
        <w:pBdr>
          <w:top w:val="nil"/>
          <w:left w:val="nil"/>
          <w:bottom w:val="nil"/>
          <w:right w:val="nil"/>
          <w:between w:val="nil"/>
        </w:pBdr>
        <w:spacing w:before="238" w:line="360" w:lineRule="auto"/>
        <w:rPr>
          <w:color w:val="000000"/>
          <w:sz w:val="24"/>
          <w:szCs w:val="24"/>
        </w:rPr>
      </w:pPr>
    </w:p>
    <w:p w14:paraId="0000000D" w14:textId="77777777" w:rsidR="00ED195E" w:rsidRDefault="00000000">
      <w:pPr>
        <w:pBdr>
          <w:top w:val="nil"/>
          <w:left w:val="nil"/>
          <w:bottom w:val="nil"/>
          <w:right w:val="nil"/>
          <w:between w:val="nil"/>
        </w:pBdr>
        <w:spacing w:line="360" w:lineRule="auto"/>
        <w:rPr>
          <w:color w:val="000000"/>
          <w:sz w:val="24"/>
          <w:szCs w:val="24"/>
        </w:rPr>
      </w:pPr>
      <w:r>
        <w:rPr>
          <w:color w:val="000000"/>
          <w:sz w:val="24"/>
          <w:szCs w:val="24"/>
        </w:rPr>
        <w:t>Fecha: Noviembre, 2025</w:t>
      </w:r>
    </w:p>
    <w:p w14:paraId="0000000E" w14:textId="77777777" w:rsidR="00ED195E" w:rsidRDefault="00ED195E">
      <w:pPr>
        <w:pBdr>
          <w:top w:val="nil"/>
          <w:left w:val="nil"/>
          <w:bottom w:val="nil"/>
          <w:right w:val="nil"/>
          <w:between w:val="nil"/>
        </w:pBdr>
        <w:spacing w:line="360" w:lineRule="auto"/>
        <w:rPr>
          <w:color w:val="000000"/>
          <w:sz w:val="24"/>
          <w:szCs w:val="24"/>
        </w:rPr>
      </w:pPr>
    </w:p>
    <w:p w14:paraId="0000000F" w14:textId="77777777" w:rsidR="00ED195E" w:rsidRDefault="00ED195E">
      <w:pPr>
        <w:pBdr>
          <w:top w:val="nil"/>
          <w:left w:val="nil"/>
          <w:bottom w:val="nil"/>
          <w:right w:val="nil"/>
          <w:between w:val="nil"/>
        </w:pBdr>
        <w:spacing w:line="360" w:lineRule="auto"/>
        <w:rPr>
          <w:color w:val="000000"/>
          <w:sz w:val="24"/>
          <w:szCs w:val="24"/>
        </w:rPr>
      </w:pPr>
    </w:p>
    <w:p w14:paraId="00000010" w14:textId="77777777" w:rsidR="00ED195E" w:rsidRDefault="00ED195E">
      <w:pPr>
        <w:pBdr>
          <w:top w:val="nil"/>
          <w:left w:val="nil"/>
          <w:bottom w:val="nil"/>
          <w:right w:val="nil"/>
          <w:between w:val="nil"/>
        </w:pBdr>
        <w:spacing w:line="360" w:lineRule="auto"/>
        <w:rPr>
          <w:color w:val="000000"/>
          <w:sz w:val="24"/>
          <w:szCs w:val="24"/>
        </w:rPr>
      </w:pPr>
    </w:p>
    <w:p w14:paraId="00000011" w14:textId="77777777" w:rsidR="00ED195E" w:rsidRDefault="00ED195E">
      <w:pPr>
        <w:pBdr>
          <w:top w:val="nil"/>
          <w:left w:val="nil"/>
          <w:bottom w:val="nil"/>
          <w:right w:val="nil"/>
          <w:between w:val="nil"/>
        </w:pBdr>
        <w:spacing w:line="360" w:lineRule="auto"/>
        <w:rPr>
          <w:color w:val="000000"/>
          <w:sz w:val="24"/>
          <w:szCs w:val="24"/>
        </w:rPr>
      </w:pPr>
    </w:p>
    <w:p w14:paraId="00000012" w14:textId="77777777" w:rsidR="00ED195E" w:rsidRDefault="00ED195E">
      <w:pPr>
        <w:pBdr>
          <w:top w:val="nil"/>
          <w:left w:val="nil"/>
          <w:bottom w:val="nil"/>
          <w:right w:val="nil"/>
          <w:between w:val="nil"/>
        </w:pBdr>
        <w:spacing w:line="360" w:lineRule="auto"/>
        <w:rPr>
          <w:color w:val="000000"/>
          <w:sz w:val="24"/>
          <w:szCs w:val="24"/>
        </w:rPr>
      </w:pPr>
    </w:p>
    <w:p w14:paraId="00000013" w14:textId="77777777" w:rsidR="00ED195E" w:rsidRDefault="00ED195E">
      <w:pPr>
        <w:pBdr>
          <w:top w:val="nil"/>
          <w:left w:val="nil"/>
          <w:bottom w:val="nil"/>
          <w:right w:val="nil"/>
          <w:between w:val="nil"/>
        </w:pBdr>
        <w:spacing w:line="360" w:lineRule="auto"/>
        <w:rPr>
          <w:color w:val="000000"/>
          <w:sz w:val="24"/>
          <w:szCs w:val="24"/>
        </w:rPr>
      </w:pPr>
    </w:p>
    <w:p w14:paraId="00000014" w14:textId="77777777" w:rsidR="00ED195E" w:rsidRDefault="00ED195E">
      <w:pPr>
        <w:pBdr>
          <w:top w:val="nil"/>
          <w:left w:val="nil"/>
          <w:bottom w:val="nil"/>
          <w:right w:val="nil"/>
          <w:between w:val="nil"/>
        </w:pBdr>
        <w:spacing w:line="360" w:lineRule="auto"/>
        <w:rPr>
          <w:color w:val="000000"/>
          <w:sz w:val="24"/>
          <w:szCs w:val="24"/>
        </w:rPr>
      </w:pPr>
    </w:p>
    <w:p w14:paraId="00000015" w14:textId="77777777" w:rsidR="00ED195E" w:rsidRDefault="00ED195E">
      <w:pPr>
        <w:pBdr>
          <w:top w:val="nil"/>
          <w:left w:val="nil"/>
          <w:bottom w:val="nil"/>
          <w:right w:val="nil"/>
          <w:between w:val="nil"/>
        </w:pBdr>
        <w:spacing w:line="360" w:lineRule="auto"/>
        <w:rPr>
          <w:color w:val="000000"/>
          <w:sz w:val="24"/>
          <w:szCs w:val="24"/>
        </w:rPr>
      </w:pPr>
    </w:p>
    <w:p w14:paraId="00000016" w14:textId="77777777" w:rsidR="00ED195E" w:rsidRDefault="00ED195E">
      <w:pPr>
        <w:pBdr>
          <w:top w:val="nil"/>
          <w:left w:val="nil"/>
          <w:bottom w:val="nil"/>
          <w:right w:val="nil"/>
          <w:between w:val="nil"/>
        </w:pBdr>
        <w:spacing w:line="360" w:lineRule="auto"/>
        <w:rPr>
          <w:color w:val="000000"/>
          <w:sz w:val="24"/>
          <w:szCs w:val="24"/>
        </w:rPr>
      </w:pPr>
    </w:p>
    <w:p w14:paraId="00000017" w14:textId="77777777" w:rsidR="00ED195E" w:rsidRDefault="00ED195E">
      <w:pPr>
        <w:pBdr>
          <w:top w:val="nil"/>
          <w:left w:val="nil"/>
          <w:bottom w:val="nil"/>
          <w:right w:val="nil"/>
          <w:between w:val="nil"/>
        </w:pBdr>
        <w:spacing w:before="163" w:line="360" w:lineRule="auto"/>
        <w:rPr>
          <w:sz w:val="24"/>
          <w:szCs w:val="24"/>
        </w:rPr>
      </w:pPr>
    </w:p>
    <w:p w14:paraId="00000018" w14:textId="77777777" w:rsidR="00ED195E" w:rsidRDefault="00ED195E">
      <w:pPr>
        <w:pBdr>
          <w:top w:val="nil"/>
          <w:left w:val="nil"/>
          <w:bottom w:val="nil"/>
          <w:right w:val="nil"/>
          <w:between w:val="nil"/>
        </w:pBdr>
        <w:spacing w:before="163" w:line="360" w:lineRule="auto"/>
        <w:rPr>
          <w:sz w:val="24"/>
          <w:szCs w:val="24"/>
        </w:rPr>
      </w:pPr>
    </w:p>
    <w:p w14:paraId="00000019" w14:textId="77777777" w:rsidR="00ED195E" w:rsidRDefault="00ED195E">
      <w:pPr>
        <w:pBdr>
          <w:top w:val="nil"/>
          <w:left w:val="nil"/>
          <w:bottom w:val="nil"/>
          <w:right w:val="nil"/>
          <w:between w:val="nil"/>
        </w:pBdr>
        <w:spacing w:before="163" w:line="360" w:lineRule="auto"/>
        <w:rPr>
          <w:sz w:val="24"/>
          <w:szCs w:val="24"/>
        </w:rPr>
      </w:pPr>
    </w:p>
    <w:p w14:paraId="0000001A" w14:textId="77777777" w:rsidR="00ED195E" w:rsidRDefault="00ED195E">
      <w:pPr>
        <w:pBdr>
          <w:top w:val="nil"/>
          <w:left w:val="nil"/>
          <w:bottom w:val="nil"/>
          <w:right w:val="nil"/>
          <w:between w:val="nil"/>
        </w:pBdr>
        <w:spacing w:before="163" w:line="360" w:lineRule="auto"/>
        <w:rPr>
          <w:sz w:val="24"/>
          <w:szCs w:val="24"/>
        </w:rPr>
      </w:pPr>
    </w:p>
    <w:p w14:paraId="0000001B" w14:textId="77777777" w:rsidR="00ED195E" w:rsidRDefault="00ED195E">
      <w:pPr>
        <w:pBdr>
          <w:top w:val="nil"/>
          <w:left w:val="nil"/>
          <w:bottom w:val="nil"/>
          <w:right w:val="nil"/>
          <w:between w:val="nil"/>
        </w:pBdr>
        <w:spacing w:before="163" w:line="360" w:lineRule="auto"/>
        <w:rPr>
          <w:sz w:val="24"/>
          <w:szCs w:val="24"/>
        </w:rPr>
      </w:pPr>
    </w:p>
    <w:p w14:paraId="0000001C" w14:textId="77777777" w:rsidR="00ED195E" w:rsidRDefault="00000000">
      <w:pPr>
        <w:pStyle w:val="Heading1"/>
        <w:rPr>
          <w:b w:val="0"/>
          <w:bCs w:val="0"/>
          <w:sz w:val="24"/>
          <w:szCs w:val="24"/>
        </w:rPr>
      </w:pPr>
      <w:r>
        <w:rPr>
          <w:b w:val="0"/>
          <w:bCs w:val="0"/>
          <w:sz w:val="24"/>
          <w:szCs w:val="24"/>
        </w:rPr>
        <w:lastRenderedPageBreak/>
        <w:t>RESUMEN</w:t>
      </w:r>
    </w:p>
    <w:p w14:paraId="0000001D" w14:textId="77777777" w:rsidR="00ED195E" w:rsidRDefault="00000000">
      <w:pPr>
        <w:pBdr>
          <w:top w:val="nil"/>
          <w:left w:val="nil"/>
          <w:bottom w:val="nil"/>
          <w:right w:val="nil"/>
          <w:between w:val="nil"/>
        </w:pBdr>
        <w:spacing w:before="238" w:line="360" w:lineRule="auto"/>
        <w:ind w:right="42"/>
        <w:rPr>
          <w:color w:val="000000"/>
          <w:sz w:val="24"/>
          <w:szCs w:val="24"/>
        </w:rPr>
      </w:pPr>
      <w:r>
        <w:rPr>
          <w:color w:val="000000"/>
          <w:sz w:val="24"/>
          <w:szCs w:val="24"/>
        </w:rPr>
        <w:t>El rol del docente trasciende la simple acción de enseñar: implica acompañar, sostener y facilitar el acceso al aprendizaje, especialmente en contextos donde la educación presenta barreras significativas. Este ensayo aborda la labor docente en la educación de estudiantes con sordoceguera, una discapacidad caracterizada por la combinación de deficiencias auditivas y visuales que afecta gravemente la comunicación, la movilidad y el acceso a la información. El texto analiza las responsabilidades del docente en áreas clave: el acceso a la información mediante sistemas de comunicación adecuados; la orientación y movilidad para favorecer desplazamientos seguros; la enseñanza de actividades de la vida diaria desde experiencias reales; y la promoción de estrategias comunicativas que permitan la interacción con personas fuera del entorno habitual. Finalmente, el ensayo sostiene que estas áreas representan solo una parte del vasto trabajo que realizan los docentes, cuyo compromiso, paciencia y creatividad resultan esenciales para garantizar una educación digna.</w:t>
      </w:r>
    </w:p>
    <w:p w14:paraId="0000001E" w14:textId="77777777" w:rsidR="00ED195E" w:rsidRDefault="00000000">
      <w:pPr>
        <w:pBdr>
          <w:top w:val="nil"/>
          <w:left w:val="nil"/>
          <w:bottom w:val="nil"/>
          <w:right w:val="nil"/>
          <w:between w:val="nil"/>
        </w:pBdr>
        <w:spacing w:before="200" w:line="360" w:lineRule="auto"/>
        <w:rPr>
          <w:color w:val="000000"/>
          <w:sz w:val="24"/>
          <w:szCs w:val="24"/>
        </w:rPr>
        <w:sectPr w:rsidR="00ED195E">
          <w:pgSz w:w="11920" w:h="16840"/>
          <w:pgMar w:top="1240" w:right="1275" w:bottom="280" w:left="1275" w:header="360" w:footer="360" w:gutter="0"/>
          <w:pgNumType w:start="1"/>
          <w:cols w:space="720"/>
        </w:sectPr>
      </w:pPr>
      <w:r>
        <w:rPr>
          <w:color w:val="000000"/>
          <w:sz w:val="24"/>
          <w:szCs w:val="24"/>
        </w:rPr>
        <w:t>Palabras clave: Sordoceguera, labor docente, educación, comunicación, movilidad, inclusión</w:t>
      </w:r>
    </w:p>
    <w:p w14:paraId="0000001F" w14:textId="77777777" w:rsidR="00ED195E" w:rsidRDefault="00000000">
      <w:pPr>
        <w:pBdr>
          <w:top w:val="nil"/>
          <w:left w:val="nil"/>
          <w:bottom w:val="nil"/>
          <w:right w:val="nil"/>
          <w:between w:val="nil"/>
        </w:pBdr>
        <w:spacing w:before="64" w:line="360" w:lineRule="auto"/>
        <w:ind w:right="42"/>
        <w:rPr>
          <w:color w:val="000000"/>
          <w:sz w:val="24"/>
          <w:szCs w:val="24"/>
        </w:rPr>
      </w:pPr>
      <w:r>
        <w:rPr>
          <w:color w:val="000000"/>
          <w:sz w:val="24"/>
          <w:szCs w:val="24"/>
        </w:rPr>
        <w:lastRenderedPageBreak/>
        <w:t>La palabra “docente” proviene del verbo latino “</w:t>
      </w:r>
      <w:proofErr w:type="spellStart"/>
      <w:r>
        <w:rPr>
          <w:color w:val="000000"/>
          <w:sz w:val="24"/>
          <w:szCs w:val="24"/>
        </w:rPr>
        <w:t>docēre</w:t>
      </w:r>
      <w:proofErr w:type="spellEnd"/>
      <w:r>
        <w:rPr>
          <w:color w:val="000000"/>
          <w:sz w:val="24"/>
          <w:szCs w:val="24"/>
        </w:rPr>
        <w:t>”, que se traduce como “enseñar”, y la Real Academia Española define este término en 2 palabras: “Que enseña”. No obstante, para algunos esa definición puede resultar considerablemente corta si se toma en cuenta todo lo que realiza este profesional en su campo. En ese sentido, pueden designarse múltiples conceptos para la palabra “docente”, como los que se aprecian en el siguiente apartado:</w:t>
      </w:r>
    </w:p>
    <w:p w14:paraId="00000020" w14:textId="77777777" w:rsidR="00ED195E" w:rsidRDefault="00000000">
      <w:pPr>
        <w:spacing w:before="200" w:line="360" w:lineRule="auto"/>
        <w:ind w:right="4277"/>
        <w:rPr>
          <w:sz w:val="24"/>
          <w:szCs w:val="24"/>
        </w:rPr>
      </w:pPr>
      <w:proofErr w:type="gramStart"/>
      <w:r>
        <w:rPr>
          <w:sz w:val="24"/>
          <w:szCs w:val="24"/>
        </w:rPr>
        <w:t>Palabra a definir</w:t>
      </w:r>
      <w:proofErr w:type="gramEnd"/>
      <w:r>
        <w:rPr>
          <w:sz w:val="24"/>
          <w:szCs w:val="24"/>
        </w:rPr>
        <w:t>: Docente Definiciones:</w:t>
      </w:r>
    </w:p>
    <w:p w14:paraId="00000021" w14:textId="77777777" w:rsidR="00ED195E" w:rsidRDefault="00000000">
      <w:pPr>
        <w:pBdr>
          <w:top w:val="nil"/>
          <w:left w:val="nil"/>
          <w:bottom w:val="nil"/>
          <w:right w:val="nil"/>
          <w:between w:val="nil"/>
        </w:pBdr>
        <w:tabs>
          <w:tab w:val="left" w:pos="2186"/>
        </w:tabs>
        <w:spacing w:line="360" w:lineRule="auto"/>
        <w:rPr>
          <w:color w:val="000000"/>
          <w:sz w:val="24"/>
          <w:szCs w:val="24"/>
        </w:rPr>
      </w:pPr>
      <w:r>
        <w:rPr>
          <w:color w:val="000000"/>
          <w:sz w:val="24"/>
          <w:szCs w:val="24"/>
        </w:rPr>
        <w:t>Persona que celebra los logros de sus estudiantes como si fueran suyos.</w:t>
      </w:r>
    </w:p>
    <w:p w14:paraId="00000022" w14:textId="77777777" w:rsidR="00ED195E" w:rsidRDefault="00000000">
      <w:pPr>
        <w:pBdr>
          <w:top w:val="nil"/>
          <w:left w:val="nil"/>
          <w:bottom w:val="nil"/>
          <w:right w:val="nil"/>
          <w:between w:val="nil"/>
        </w:pBdr>
        <w:tabs>
          <w:tab w:val="left" w:pos="2186"/>
        </w:tabs>
        <w:spacing w:line="360" w:lineRule="auto"/>
        <w:rPr>
          <w:color w:val="000000"/>
          <w:sz w:val="24"/>
          <w:szCs w:val="24"/>
        </w:rPr>
      </w:pPr>
      <w:r>
        <w:rPr>
          <w:color w:val="000000"/>
          <w:sz w:val="24"/>
          <w:szCs w:val="24"/>
        </w:rPr>
        <w:t>Persona que comparte su merienda cuando alguien olvida la suya.</w:t>
      </w:r>
    </w:p>
    <w:p w14:paraId="00000023" w14:textId="77777777" w:rsidR="00ED195E" w:rsidRDefault="00000000">
      <w:pPr>
        <w:pBdr>
          <w:top w:val="nil"/>
          <w:left w:val="nil"/>
          <w:bottom w:val="nil"/>
          <w:right w:val="nil"/>
          <w:between w:val="nil"/>
        </w:pBdr>
        <w:tabs>
          <w:tab w:val="left" w:pos="2186"/>
        </w:tabs>
        <w:spacing w:line="360" w:lineRule="auto"/>
        <w:rPr>
          <w:color w:val="000000"/>
          <w:sz w:val="24"/>
          <w:szCs w:val="24"/>
        </w:rPr>
      </w:pPr>
      <w:r>
        <w:rPr>
          <w:color w:val="000000"/>
          <w:sz w:val="24"/>
          <w:szCs w:val="24"/>
        </w:rPr>
        <w:t>Persona que escucha cuando parece que nadie más lo hace.</w:t>
      </w:r>
    </w:p>
    <w:p w14:paraId="00000024" w14:textId="77777777" w:rsidR="00ED195E" w:rsidRDefault="00000000">
      <w:pPr>
        <w:pBdr>
          <w:top w:val="nil"/>
          <w:left w:val="nil"/>
          <w:bottom w:val="nil"/>
          <w:right w:val="nil"/>
          <w:between w:val="nil"/>
        </w:pBdr>
        <w:tabs>
          <w:tab w:val="left" w:pos="2186"/>
        </w:tabs>
        <w:spacing w:line="360" w:lineRule="auto"/>
        <w:rPr>
          <w:color w:val="000000"/>
          <w:sz w:val="24"/>
          <w:szCs w:val="24"/>
        </w:rPr>
      </w:pPr>
      <w:r>
        <w:rPr>
          <w:color w:val="000000"/>
          <w:sz w:val="24"/>
          <w:szCs w:val="24"/>
        </w:rPr>
        <w:t>Persona que asegura que todos en su aula se sientan incluidos.</w:t>
      </w:r>
    </w:p>
    <w:p w14:paraId="00000025" w14:textId="77777777" w:rsidR="00ED195E" w:rsidRDefault="00000000">
      <w:pPr>
        <w:pBdr>
          <w:top w:val="nil"/>
          <w:left w:val="nil"/>
          <w:bottom w:val="nil"/>
          <w:right w:val="nil"/>
          <w:between w:val="nil"/>
        </w:pBdr>
        <w:tabs>
          <w:tab w:val="left" w:pos="2186"/>
          <w:tab w:val="left" w:pos="2188"/>
        </w:tabs>
        <w:spacing w:line="360" w:lineRule="auto"/>
        <w:ind w:right="54"/>
        <w:rPr>
          <w:color w:val="000000"/>
          <w:sz w:val="24"/>
          <w:szCs w:val="24"/>
        </w:rPr>
      </w:pPr>
      <w:r>
        <w:rPr>
          <w:color w:val="000000"/>
          <w:sz w:val="24"/>
          <w:szCs w:val="24"/>
        </w:rPr>
        <w:t>Persona que emplea distintas estrategias para alcanzar un aprendizaje significativo en su alumnado.</w:t>
      </w:r>
    </w:p>
    <w:p w14:paraId="00000026" w14:textId="77777777" w:rsidR="00ED195E" w:rsidRDefault="00000000">
      <w:pPr>
        <w:spacing w:before="200" w:line="360" w:lineRule="auto"/>
        <w:rPr>
          <w:sz w:val="24"/>
          <w:szCs w:val="24"/>
        </w:rPr>
      </w:pPr>
      <w:r>
        <w:rPr>
          <w:sz w:val="24"/>
          <w:szCs w:val="24"/>
        </w:rPr>
        <w:t>Entre otras definiciones que pueden ser fácilmente distinguidas si se comparte con un docente.</w:t>
      </w:r>
    </w:p>
    <w:p w14:paraId="00000027" w14:textId="77777777" w:rsidR="00ED195E" w:rsidRDefault="00000000">
      <w:pPr>
        <w:pBdr>
          <w:top w:val="nil"/>
          <w:left w:val="nil"/>
          <w:bottom w:val="nil"/>
          <w:right w:val="nil"/>
          <w:between w:val="nil"/>
        </w:pBdr>
        <w:spacing w:before="200" w:line="360" w:lineRule="auto"/>
        <w:ind w:right="42"/>
        <w:rPr>
          <w:color w:val="000000"/>
          <w:sz w:val="24"/>
          <w:szCs w:val="24"/>
        </w:rPr>
      </w:pPr>
      <w:r>
        <w:rPr>
          <w:color w:val="000000"/>
          <w:sz w:val="24"/>
          <w:szCs w:val="24"/>
        </w:rPr>
        <w:t>Estas prácticas, que definen al docente y su labor diaria, pueden impactar significativamente en la vida de cada uno de sus estudiantes. Y en contextos donde la educación parece ser difícil de acceder, la labor del docente cobra más significado, pues el docente hace de sí un puente capaz de sostener, guiar y conectar al alumno con el mundo, a través de su enseñanza.</w:t>
      </w:r>
    </w:p>
    <w:p w14:paraId="00000028" w14:textId="77777777" w:rsidR="00ED195E" w:rsidRDefault="00000000">
      <w:pPr>
        <w:pBdr>
          <w:top w:val="nil"/>
          <w:left w:val="nil"/>
          <w:bottom w:val="nil"/>
          <w:right w:val="nil"/>
          <w:between w:val="nil"/>
        </w:pBdr>
        <w:spacing w:before="200" w:line="360" w:lineRule="auto"/>
        <w:ind w:right="54"/>
        <w:rPr>
          <w:color w:val="000000"/>
          <w:sz w:val="24"/>
          <w:szCs w:val="24"/>
        </w:rPr>
      </w:pPr>
      <w:r>
        <w:rPr>
          <w:color w:val="000000"/>
          <w:sz w:val="24"/>
          <w:szCs w:val="24"/>
        </w:rPr>
        <w:t>Aun así, hay un grupo de estudiantes que, pese a su derecho, encuentran grandes dificultades para acceder plenamente a la educación. Tal es la realidad de los estudiantes con sordoceguera.</w:t>
      </w:r>
    </w:p>
    <w:p w14:paraId="00000029" w14:textId="77777777" w:rsidR="00ED195E" w:rsidRDefault="00000000">
      <w:pPr>
        <w:pBdr>
          <w:top w:val="nil"/>
          <w:left w:val="nil"/>
          <w:bottom w:val="nil"/>
          <w:right w:val="nil"/>
          <w:between w:val="nil"/>
        </w:pBdr>
        <w:spacing w:before="200" w:line="360" w:lineRule="auto"/>
        <w:ind w:right="49"/>
        <w:rPr>
          <w:color w:val="000000"/>
          <w:sz w:val="24"/>
          <w:szCs w:val="24"/>
        </w:rPr>
      </w:pPr>
      <w:r>
        <w:rPr>
          <w:color w:val="000000"/>
          <w:sz w:val="24"/>
          <w:szCs w:val="24"/>
        </w:rPr>
        <w:t>La sordoceguera, como menciona el Ministerio de Educación del Perú, es una discapacidad única que se manifiesta por la deficiencia auditiva y visual simultánea, parcial o total, de manera suficiente y grave para comprometer la comunicación, la movilización y el acceso a la información y al entorno (2023, p. 3).</w:t>
      </w:r>
    </w:p>
    <w:p w14:paraId="0000002A" w14:textId="77777777" w:rsidR="00ED195E" w:rsidRDefault="00000000">
      <w:pPr>
        <w:pBdr>
          <w:top w:val="nil"/>
          <w:left w:val="nil"/>
          <w:bottom w:val="nil"/>
          <w:right w:val="nil"/>
          <w:between w:val="nil"/>
        </w:pBdr>
        <w:spacing w:before="200" w:line="360" w:lineRule="auto"/>
        <w:ind w:right="44"/>
        <w:rPr>
          <w:color w:val="000000"/>
          <w:sz w:val="24"/>
          <w:szCs w:val="24"/>
        </w:rPr>
      </w:pPr>
      <w:r>
        <w:rPr>
          <w:color w:val="000000"/>
          <w:sz w:val="24"/>
          <w:szCs w:val="24"/>
        </w:rPr>
        <w:t>Para un estudiante con sordoceguera, ese “puente” docente adquiere una dimensión profundamente humana: en un contexto donde solo una parte muy pequeña de esta población logra acceder a experiencias educativas verdaderamente significativas, la presencia del docente se convierte en la mano que guía cuando el entorno se siente incierto, es el tacto que reemplaza la voz o la mirada, y esa presencia constante que da seguridad para aprender, participar y sentirse parte de la comunidad escolar.</w:t>
      </w:r>
    </w:p>
    <w:p w14:paraId="0000002B" w14:textId="77777777" w:rsidR="00ED195E" w:rsidRDefault="00000000">
      <w:pPr>
        <w:pBdr>
          <w:top w:val="nil"/>
          <w:left w:val="nil"/>
          <w:bottom w:val="nil"/>
          <w:right w:val="nil"/>
          <w:between w:val="nil"/>
        </w:pBdr>
        <w:spacing w:before="200" w:line="360" w:lineRule="auto"/>
        <w:ind w:right="47"/>
        <w:rPr>
          <w:color w:val="000000"/>
          <w:sz w:val="24"/>
          <w:szCs w:val="24"/>
        </w:rPr>
      </w:pPr>
      <w:r>
        <w:rPr>
          <w:color w:val="000000"/>
          <w:sz w:val="24"/>
          <w:szCs w:val="24"/>
        </w:rPr>
        <w:lastRenderedPageBreak/>
        <w:t>Según el segundo informe mundial sobre la situación de las personas con sordoceguera de la Federación Mundial de Sordociegos (2023), desde los primeros niveles educativos, la presencia de niños con sordoceguera es significativamente menor en comparación con sus pares con otras discapacidades, o sin discapacidad.</w:t>
      </w:r>
    </w:p>
    <w:p w14:paraId="0000002C" w14:textId="77777777" w:rsidR="00ED195E" w:rsidRDefault="00000000">
      <w:pPr>
        <w:pBdr>
          <w:top w:val="nil"/>
          <w:left w:val="nil"/>
          <w:bottom w:val="nil"/>
          <w:right w:val="nil"/>
          <w:between w:val="nil"/>
        </w:pBdr>
        <w:spacing w:before="200" w:line="360" w:lineRule="auto"/>
        <w:ind w:right="43"/>
        <w:rPr>
          <w:color w:val="000000"/>
          <w:sz w:val="24"/>
          <w:szCs w:val="24"/>
        </w:rPr>
      </w:pPr>
      <w:r>
        <w:rPr>
          <w:color w:val="000000"/>
          <w:sz w:val="24"/>
          <w:szCs w:val="24"/>
        </w:rPr>
        <w:t>En Educación Inicial, alrededor del 14% de estudiantes con sordoceguera se encuentran matriculados en una Institución Educativa, una cifra muy por debajo de la que alcanzan tanto otros estudiantes con discapacidad como aquellos sin discapacidad. Esta brecha se vuelve aún más evidente en la Educación Primaria, donde apenas un 20% llega a matricularse, frente a los porcentajes mucho más altos que registran otros grupos. La situación continúa en la Educación Secundaria, etapa a la que asiste aproximadamente el 16% de este estudiantado (Federación Mundial de Sordociegos, 2023, pp. 99-100).</w:t>
      </w:r>
    </w:p>
    <w:p w14:paraId="0000002D" w14:textId="77777777" w:rsidR="00ED195E" w:rsidRDefault="00000000">
      <w:pPr>
        <w:pBdr>
          <w:top w:val="nil"/>
          <w:left w:val="nil"/>
          <w:bottom w:val="nil"/>
          <w:right w:val="nil"/>
          <w:between w:val="nil"/>
        </w:pBdr>
        <w:spacing w:before="200" w:line="360" w:lineRule="auto"/>
        <w:ind w:right="42"/>
        <w:rPr>
          <w:color w:val="000000"/>
          <w:sz w:val="24"/>
          <w:szCs w:val="24"/>
        </w:rPr>
      </w:pPr>
      <w:r>
        <w:rPr>
          <w:color w:val="000000"/>
          <w:sz w:val="24"/>
          <w:szCs w:val="24"/>
        </w:rPr>
        <w:t>Además, el informe también señala que, incluso cuando los niños con sordoceguera logran estar matriculados, sus posibilidades de avanzar adecuadamente en su desarrollo son casi un 50% menores que las de otros estudiantes con discapacidad, y hasta tres veces inferiores respecto a quienes no presentan ninguna. Esta diferencia se relaciona con la persistencia de actividades poco accesibles, metodologías rígidas y la limitada formación docente para atender sus necesidades específicas (Federación Mundial de Sordociegos, 2023, p. 100).</w:t>
      </w:r>
    </w:p>
    <w:p w14:paraId="0000002E" w14:textId="77777777" w:rsidR="00ED195E" w:rsidRDefault="00000000">
      <w:pPr>
        <w:pBdr>
          <w:top w:val="nil"/>
          <w:left w:val="nil"/>
          <w:bottom w:val="nil"/>
          <w:right w:val="nil"/>
          <w:between w:val="nil"/>
        </w:pBdr>
        <w:spacing w:before="200" w:line="360" w:lineRule="auto"/>
        <w:ind w:right="45"/>
        <w:rPr>
          <w:color w:val="000000"/>
          <w:sz w:val="24"/>
          <w:szCs w:val="24"/>
        </w:rPr>
      </w:pPr>
      <w:r>
        <w:rPr>
          <w:color w:val="000000"/>
          <w:sz w:val="24"/>
          <w:szCs w:val="24"/>
        </w:rPr>
        <w:t>Bajo ese panorama, la labor de los docentes que acompañan a estudiantes con sordoceguera exige un compromiso profundo, y precisamente por ello, se convierte en una tarea de enorme valor y reconocimiento.</w:t>
      </w:r>
    </w:p>
    <w:p w14:paraId="0000002F" w14:textId="77777777" w:rsidR="00ED195E" w:rsidRDefault="00000000">
      <w:pPr>
        <w:pBdr>
          <w:top w:val="nil"/>
          <w:left w:val="nil"/>
          <w:bottom w:val="nil"/>
          <w:right w:val="nil"/>
          <w:between w:val="nil"/>
        </w:pBdr>
        <w:spacing w:before="200" w:line="360" w:lineRule="auto"/>
        <w:ind w:right="43"/>
        <w:rPr>
          <w:color w:val="000000"/>
          <w:sz w:val="24"/>
          <w:szCs w:val="24"/>
        </w:rPr>
      </w:pPr>
      <w:r>
        <w:rPr>
          <w:color w:val="000000"/>
          <w:sz w:val="24"/>
          <w:szCs w:val="24"/>
        </w:rPr>
        <w:t>En principio, el docente debe saber que no todas las personas con sordoceguera se comunican de la misma manera. La elección del sistema de comunicación de la persona sordociega depende de:</w:t>
      </w:r>
    </w:p>
    <w:p w14:paraId="00000030" w14:textId="77777777" w:rsidR="00ED195E" w:rsidRDefault="00000000">
      <w:pPr>
        <w:pBdr>
          <w:top w:val="nil"/>
          <w:left w:val="nil"/>
          <w:bottom w:val="nil"/>
          <w:right w:val="nil"/>
          <w:between w:val="nil"/>
        </w:pBdr>
        <w:tabs>
          <w:tab w:val="left" w:pos="1468"/>
        </w:tabs>
        <w:spacing w:before="200" w:line="360" w:lineRule="auto"/>
        <w:rPr>
          <w:color w:val="000000"/>
          <w:sz w:val="24"/>
          <w:szCs w:val="24"/>
        </w:rPr>
      </w:pPr>
      <w:r>
        <w:rPr>
          <w:color w:val="000000"/>
          <w:sz w:val="24"/>
          <w:szCs w:val="24"/>
        </w:rPr>
        <w:t>Si la persona nació sorda y/o ciega, o perdió uno o ambos sentidos después.</w:t>
      </w:r>
    </w:p>
    <w:p w14:paraId="00000031" w14:textId="77777777" w:rsidR="00ED195E" w:rsidRDefault="00000000">
      <w:pPr>
        <w:pBdr>
          <w:top w:val="nil"/>
          <w:left w:val="nil"/>
          <w:bottom w:val="nil"/>
          <w:right w:val="nil"/>
          <w:between w:val="nil"/>
        </w:pBdr>
        <w:tabs>
          <w:tab w:val="left" w:pos="1468"/>
        </w:tabs>
        <w:spacing w:before="200" w:line="360" w:lineRule="auto"/>
        <w:rPr>
          <w:color w:val="000000"/>
          <w:sz w:val="24"/>
          <w:szCs w:val="24"/>
        </w:rPr>
      </w:pPr>
      <w:r>
        <w:rPr>
          <w:color w:val="000000"/>
          <w:sz w:val="24"/>
          <w:szCs w:val="24"/>
        </w:rPr>
        <w:t>Si sabe Lengua de Señas, Sistema Braille, o tiene lenguaje.</w:t>
      </w:r>
    </w:p>
    <w:p w14:paraId="00000032" w14:textId="77777777" w:rsidR="00ED195E" w:rsidRDefault="00000000">
      <w:pPr>
        <w:pBdr>
          <w:top w:val="nil"/>
          <w:left w:val="nil"/>
          <w:bottom w:val="nil"/>
          <w:right w:val="nil"/>
          <w:between w:val="nil"/>
        </w:pBdr>
        <w:tabs>
          <w:tab w:val="left" w:pos="1468"/>
        </w:tabs>
        <w:spacing w:before="200" w:line="360" w:lineRule="auto"/>
        <w:rPr>
          <w:color w:val="000000"/>
          <w:sz w:val="24"/>
          <w:szCs w:val="24"/>
        </w:rPr>
      </w:pPr>
      <w:r>
        <w:rPr>
          <w:color w:val="000000"/>
          <w:sz w:val="24"/>
          <w:szCs w:val="24"/>
        </w:rPr>
        <w:t>Si tiene restos visuales o auditivos (Canal Trece Colombia, 2022).</w:t>
      </w:r>
    </w:p>
    <w:p w14:paraId="00000033" w14:textId="77777777" w:rsidR="00ED195E" w:rsidRDefault="00000000">
      <w:pPr>
        <w:pBdr>
          <w:top w:val="nil"/>
          <w:left w:val="nil"/>
          <w:bottom w:val="nil"/>
          <w:right w:val="nil"/>
          <w:between w:val="nil"/>
        </w:pBdr>
        <w:spacing w:before="200" w:line="360" w:lineRule="auto"/>
        <w:ind w:right="43"/>
        <w:rPr>
          <w:color w:val="000000"/>
          <w:sz w:val="24"/>
          <w:szCs w:val="24"/>
        </w:rPr>
      </w:pPr>
      <w:r>
        <w:rPr>
          <w:color w:val="000000"/>
          <w:sz w:val="24"/>
          <w:szCs w:val="24"/>
        </w:rPr>
        <w:t xml:space="preserve">En el Perú, se reconocen distintos sistemas de comunicación para las personas con sordoceguera: Entre los sistemas alfabéticos, se incluyen el dactilológico —que representa cada letra con distintas formas y posturas con la mano—, el visual–táctil, en el que la persona toma la mano del interlocutor mientras este deletrea, y la escritura en mayúsculas, que consiste en trazar letras sobre la palma de la mano de la persona </w:t>
      </w:r>
      <w:r>
        <w:rPr>
          <w:color w:val="000000"/>
          <w:sz w:val="24"/>
          <w:szCs w:val="24"/>
        </w:rPr>
        <w:lastRenderedPageBreak/>
        <w:t>sordociega (Ministerio de Educación del Perú, 2023, p. 8).</w:t>
      </w:r>
    </w:p>
    <w:p w14:paraId="00000034" w14:textId="77777777" w:rsidR="00ED195E" w:rsidRDefault="00000000">
      <w:pPr>
        <w:pBdr>
          <w:top w:val="nil"/>
          <w:left w:val="nil"/>
          <w:bottom w:val="nil"/>
          <w:right w:val="nil"/>
          <w:between w:val="nil"/>
        </w:pBdr>
        <w:spacing w:before="200" w:line="360" w:lineRule="auto"/>
        <w:ind w:right="42"/>
        <w:rPr>
          <w:color w:val="000000"/>
          <w:sz w:val="24"/>
          <w:szCs w:val="24"/>
        </w:rPr>
      </w:pPr>
      <w:r>
        <w:rPr>
          <w:color w:val="000000"/>
          <w:sz w:val="24"/>
          <w:szCs w:val="24"/>
        </w:rPr>
        <w:t>Los sistemas no alfabéticos abarcan la lengua de señas visual, compartida con la comunidad sorda, y su adaptación táctil, donde la persona con sordoceguera percibe las señas tomando las manos de quien las realiza (Ministerio de Educación del Perú, 2023, p. 9).</w:t>
      </w:r>
    </w:p>
    <w:p w14:paraId="00000035" w14:textId="77777777" w:rsidR="00ED195E" w:rsidRDefault="00000000">
      <w:pPr>
        <w:pBdr>
          <w:top w:val="nil"/>
          <w:left w:val="nil"/>
          <w:bottom w:val="nil"/>
          <w:right w:val="nil"/>
          <w:between w:val="nil"/>
        </w:pBdr>
        <w:spacing w:before="200" w:line="360" w:lineRule="auto"/>
        <w:ind w:right="44"/>
        <w:rPr>
          <w:color w:val="000000"/>
          <w:sz w:val="24"/>
          <w:szCs w:val="24"/>
        </w:rPr>
      </w:pPr>
      <w:r>
        <w:rPr>
          <w:color w:val="000000"/>
          <w:sz w:val="24"/>
          <w:szCs w:val="24"/>
        </w:rPr>
        <w:t xml:space="preserve">Finalmente, los sistemas basados en la lengua oral incluyen el habla amplificada, donde se eleva la voz dirigiéndose al oído con mayor resto auditivo o apoyada en dispositivos; la lectura </w:t>
      </w:r>
      <w:proofErr w:type="gramStart"/>
      <w:r>
        <w:rPr>
          <w:color w:val="000000"/>
          <w:sz w:val="24"/>
          <w:szCs w:val="24"/>
        </w:rPr>
        <w:t>labio-facial</w:t>
      </w:r>
      <w:proofErr w:type="gramEnd"/>
      <w:r>
        <w:rPr>
          <w:color w:val="000000"/>
          <w:sz w:val="24"/>
          <w:szCs w:val="24"/>
        </w:rPr>
        <w:t xml:space="preserve">, utilizada por quienes aún conservan restos visuales; y el </w:t>
      </w:r>
      <w:proofErr w:type="spellStart"/>
      <w:r>
        <w:rPr>
          <w:color w:val="000000"/>
          <w:sz w:val="24"/>
          <w:szCs w:val="24"/>
        </w:rPr>
        <w:t>Tadoma</w:t>
      </w:r>
      <w:proofErr w:type="spellEnd"/>
      <w:r>
        <w:rPr>
          <w:color w:val="000000"/>
          <w:sz w:val="24"/>
          <w:szCs w:val="24"/>
        </w:rPr>
        <w:t>, mediante el cual la persona sordociega percibe vibraciones y movimientos del habla colocando sus dedos sobre el rostro, boca y garganta del interlocutor (Ministerio de Educación del Perú, 2023, p. 9).</w:t>
      </w:r>
    </w:p>
    <w:p w14:paraId="00000036" w14:textId="77777777" w:rsidR="00ED195E" w:rsidRDefault="00000000">
      <w:pPr>
        <w:pBdr>
          <w:top w:val="nil"/>
          <w:left w:val="nil"/>
          <w:bottom w:val="nil"/>
          <w:right w:val="nil"/>
          <w:between w:val="nil"/>
        </w:pBdr>
        <w:spacing w:before="200" w:line="360" w:lineRule="auto"/>
        <w:ind w:right="43"/>
        <w:rPr>
          <w:color w:val="000000"/>
          <w:sz w:val="24"/>
          <w:szCs w:val="24"/>
        </w:rPr>
      </w:pPr>
      <w:r>
        <w:rPr>
          <w:color w:val="000000"/>
          <w:sz w:val="24"/>
          <w:szCs w:val="24"/>
        </w:rPr>
        <w:t>Dentro de este marco, el papel docente es decisivo para garantizar que el estudiante con sordoceguera acceda a la información de manera significativa. Para ello, la maestra o el maestro debe aprovechar al máximo los restos visuales y auditivos del estudiante, cuidando las condiciones del entorno —como la iluminación o la ubicación respecto a sonidos y estímulos visuales—, pues estos factores influyen directamente en su aprendizaje y orientación (Ministerio de Educación del Perú, 2023, p. 10).</w:t>
      </w:r>
    </w:p>
    <w:p w14:paraId="00000037" w14:textId="77777777" w:rsidR="00ED195E" w:rsidRDefault="00000000">
      <w:pPr>
        <w:pBdr>
          <w:top w:val="nil"/>
          <w:left w:val="nil"/>
          <w:bottom w:val="nil"/>
          <w:right w:val="nil"/>
          <w:between w:val="nil"/>
        </w:pBdr>
        <w:spacing w:before="200" w:line="360" w:lineRule="auto"/>
        <w:ind w:right="43"/>
        <w:rPr>
          <w:color w:val="000000"/>
          <w:sz w:val="24"/>
          <w:szCs w:val="24"/>
        </w:rPr>
      </w:pPr>
      <w:r>
        <w:rPr>
          <w:color w:val="000000"/>
          <w:sz w:val="24"/>
          <w:szCs w:val="24"/>
        </w:rPr>
        <w:t>Asimismo, el docente es responsable de transmitir la información a través del sistema de comunicación que el estudiante utiliza. Esto implica, además de tener una base formativa en el sistema de comunicación del estudiante, conocer quiénes, dentro de su entorno familiar o profesional, dominan dicho sistema, ya que estas personas pueden aportar datos esenciales para realizar los ajustes necesarios en las actividades escolares (Ministerio de Educación del Perú, 2023, p. 10).</w:t>
      </w:r>
    </w:p>
    <w:p w14:paraId="00000038" w14:textId="77777777" w:rsidR="00ED195E" w:rsidRDefault="00000000">
      <w:pPr>
        <w:pBdr>
          <w:top w:val="nil"/>
          <w:left w:val="nil"/>
          <w:bottom w:val="nil"/>
          <w:right w:val="nil"/>
          <w:between w:val="nil"/>
        </w:pBdr>
        <w:spacing w:before="200" w:line="360" w:lineRule="auto"/>
        <w:ind w:right="51"/>
        <w:rPr>
          <w:color w:val="000000"/>
          <w:sz w:val="24"/>
          <w:szCs w:val="24"/>
        </w:rPr>
      </w:pPr>
      <w:r>
        <w:rPr>
          <w:color w:val="000000"/>
          <w:sz w:val="24"/>
          <w:szCs w:val="24"/>
        </w:rPr>
        <w:t>Finalmente, el docente debe reconocer que el tacto es una vía clave para que el estudiante acceda al mundo que lo rodea. Por ello, en cualquier actividad educativa, es imprescindible considerar esta modalidad como un canal primordial de comunicación y aprendizaje (Ministerio de Educación del Perú, 2023, p. 10).</w:t>
      </w:r>
    </w:p>
    <w:p w14:paraId="00000039" w14:textId="77777777" w:rsidR="00ED195E" w:rsidRDefault="00000000">
      <w:pPr>
        <w:pBdr>
          <w:top w:val="nil"/>
          <w:left w:val="nil"/>
          <w:bottom w:val="nil"/>
          <w:right w:val="nil"/>
          <w:between w:val="nil"/>
        </w:pBdr>
        <w:spacing w:before="200" w:line="360" w:lineRule="auto"/>
        <w:ind w:right="43"/>
        <w:rPr>
          <w:color w:val="000000"/>
          <w:sz w:val="24"/>
          <w:szCs w:val="24"/>
        </w:rPr>
      </w:pPr>
      <w:r>
        <w:rPr>
          <w:color w:val="000000"/>
          <w:sz w:val="24"/>
          <w:szCs w:val="24"/>
        </w:rPr>
        <w:t>Por otra parte, además de facilitar el acceso a la información, el docente también cumple un rol esencial en la orientación y movilidad del estudiante con sordoceguera. A través de sus indicaciones, apoyos táctiles, descripciones del entorno y la organización clara de los espacios, el docente ayuda al estudiante a ubicarse, desplazarse con mayor seguridad y comprender cómo está distribuido el mundo que lo rodea.</w:t>
      </w:r>
    </w:p>
    <w:p w14:paraId="0000003A" w14:textId="77777777" w:rsidR="00ED195E" w:rsidRDefault="00000000">
      <w:pPr>
        <w:pBdr>
          <w:top w:val="nil"/>
          <w:left w:val="nil"/>
          <w:bottom w:val="nil"/>
          <w:right w:val="nil"/>
          <w:between w:val="nil"/>
        </w:pBdr>
        <w:spacing w:before="200" w:line="360" w:lineRule="auto"/>
        <w:ind w:right="45"/>
        <w:rPr>
          <w:color w:val="000000"/>
          <w:sz w:val="24"/>
          <w:szCs w:val="24"/>
        </w:rPr>
      </w:pPr>
      <w:r>
        <w:rPr>
          <w:color w:val="000000"/>
          <w:sz w:val="24"/>
          <w:szCs w:val="24"/>
        </w:rPr>
        <w:t xml:space="preserve">Para que el alumno pueda desplazarse con seguridad, el docente debe considerar las </w:t>
      </w:r>
      <w:r>
        <w:rPr>
          <w:color w:val="000000"/>
          <w:sz w:val="24"/>
          <w:szCs w:val="24"/>
        </w:rPr>
        <w:lastRenderedPageBreak/>
        <w:t xml:space="preserve">capacidades sensoriales que conserva —restos visuales, auditivos, táctiles o propioceptivos— y utilizar esa información para enseñarle a ubicarse y moverse dentro del centro educativo. Su labor incluye mostrarle los espacios que utilizará con mayor frecuencia, guiarlo mediante apoyos táctiles y recorridos repetidos, y ayudarlo a formar una imagen mental del entorno. Esto implica acompañarlo al inicio, permitirle mantener contacto con la pared o con elementos fijos, y organizar el aula con referencias táctiles o visuales —como texturas, muebles </w:t>
      </w:r>
      <w:proofErr w:type="spellStart"/>
      <w:r>
        <w:rPr>
          <w:color w:val="000000"/>
          <w:sz w:val="24"/>
          <w:szCs w:val="24"/>
        </w:rPr>
        <w:t>o</w:t>
      </w:r>
      <w:proofErr w:type="spellEnd"/>
      <w:r>
        <w:rPr>
          <w:color w:val="000000"/>
          <w:sz w:val="24"/>
          <w:szCs w:val="24"/>
        </w:rPr>
        <w:t xml:space="preserve"> objetos de referencia— que le faciliten reconocer cada lugar (Ministerio de Educación, Cultura y Deporte de España, 2017, pp. 44-47).</w:t>
      </w:r>
    </w:p>
    <w:p w14:paraId="0000003B" w14:textId="77777777" w:rsidR="00ED195E" w:rsidRDefault="00000000">
      <w:pPr>
        <w:pBdr>
          <w:top w:val="nil"/>
          <w:left w:val="nil"/>
          <w:bottom w:val="nil"/>
          <w:right w:val="nil"/>
          <w:between w:val="nil"/>
        </w:pBdr>
        <w:spacing w:before="200" w:line="360" w:lineRule="auto"/>
        <w:ind w:right="44"/>
        <w:rPr>
          <w:color w:val="000000"/>
          <w:sz w:val="24"/>
          <w:szCs w:val="24"/>
        </w:rPr>
      </w:pPr>
      <w:r>
        <w:rPr>
          <w:color w:val="000000"/>
          <w:sz w:val="24"/>
          <w:szCs w:val="24"/>
        </w:rPr>
        <w:t>El docente también apoya al estudiante en la exploración activa de los objetos y zonas del aula, ayudándolo a relacionar las sensaciones que percibe con los elementos que las producen. A medida que el alumno adquiere confianza, el docente ajusta la guía, promoviendo mayor autonomía mediante técnicas como la protección alta o baja, el uso de puntos de referencia y recorridos estructurados (Ministerio de Educación, Cultura y Deporte de España, 2017, pp. 48-49).</w:t>
      </w:r>
    </w:p>
    <w:p w14:paraId="0000003C" w14:textId="77777777" w:rsidR="00ED195E" w:rsidRDefault="00000000">
      <w:pPr>
        <w:pBdr>
          <w:top w:val="nil"/>
          <w:left w:val="nil"/>
          <w:bottom w:val="nil"/>
          <w:right w:val="nil"/>
          <w:between w:val="nil"/>
        </w:pBdr>
        <w:spacing w:before="200" w:line="360" w:lineRule="auto"/>
        <w:ind w:right="43"/>
        <w:rPr>
          <w:color w:val="000000"/>
          <w:sz w:val="24"/>
          <w:szCs w:val="24"/>
        </w:rPr>
      </w:pPr>
      <w:r>
        <w:rPr>
          <w:color w:val="000000"/>
          <w:sz w:val="24"/>
          <w:szCs w:val="24"/>
        </w:rPr>
        <w:t>En espacios exteriores, el docente sigue siendo una figura esencial: introduce progresivamente al alumno en el patio, los pasillos abiertos o las zonas entre edificios, enseñándole a reconocer texturas del suelo, elementos del ambiente y rutas seguras. De esta manera, el docente no solo acompaña el desplazamiento, sino que contribuye a que el estudiante comprenda el mundo que lo rodea y pueda orientarse con mayor independencia (Ministerio de Educación, Cultura y Deporte de España, 2017, p. 49).</w:t>
      </w:r>
    </w:p>
    <w:p w14:paraId="0000003D" w14:textId="77777777" w:rsidR="00ED195E" w:rsidRDefault="00000000">
      <w:pPr>
        <w:pBdr>
          <w:top w:val="nil"/>
          <w:left w:val="nil"/>
          <w:bottom w:val="nil"/>
          <w:right w:val="nil"/>
          <w:between w:val="nil"/>
        </w:pBdr>
        <w:spacing w:before="200" w:line="360" w:lineRule="auto"/>
        <w:ind w:right="43"/>
        <w:rPr>
          <w:color w:val="000000"/>
          <w:sz w:val="24"/>
          <w:szCs w:val="24"/>
        </w:rPr>
      </w:pPr>
      <w:r>
        <w:rPr>
          <w:color w:val="000000"/>
          <w:sz w:val="24"/>
          <w:szCs w:val="24"/>
        </w:rPr>
        <w:t>Por otro lado, así como el docente acompaña al estudiante con sordoceguera en su orientación y movilidad, también desempeña un papel fundamental en la enseñanza de las actividades de la vida diaria. Muchos estudiantes con sordoceguera no han experimentado por cuenta propia la realización de tareas cotidianas, por lo que suelen desconocer tanto el propósito global de una actividad como las habilidades motoras necesarias para ejecutarla. Frente a ello, el docente guía cada acción de manera estructurada y significativa, enseñando las tareas en el contexto real donde ocurren —el baño, el comedor, el aula— y repitiendo las secuencias de forma constante para favorecer su comprensión.</w:t>
      </w:r>
    </w:p>
    <w:p w14:paraId="0000003E" w14:textId="77777777" w:rsidR="00ED195E" w:rsidRDefault="00000000">
      <w:pPr>
        <w:pBdr>
          <w:top w:val="nil"/>
          <w:left w:val="nil"/>
          <w:bottom w:val="nil"/>
          <w:right w:val="nil"/>
          <w:between w:val="nil"/>
        </w:pBdr>
        <w:spacing w:before="200" w:line="360" w:lineRule="auto"/>
        <w:ind w:right="41"/>
        <w:rPr>
          <w:color w:val="000000"/>
          <w:sz w:val="24"/>
          <w:szCs w:val="24"/>
        </w:rPr>
      </w:pPr>
      <w:r>
        <w:rPr>
          <w:color w:val="000000"/>
          <w:sz w:val="24"/>
          <w:szCs w:val="24"/>
        </w:rPr>
        <w:t xml:space="preserve">En este proceso, la intervención docente se adapta al nivel de funcionamiento del estudiante: en quienes requieren mayor apoyo, se trabaja en el momento en que se realiza la actividad, y el lugar donde se ejecuta la misma. De esta forma, se le otorga un sentido a la tarea y es más sencilla de aprender. En estudiantes con mayor autonomía, el docente se centra en aportar la información que no pueden obtener por </w:t>
      </w:r>
      <w:r>
        <w:rPr>
          <w:color w:val="000000"/>
          <w:sz w:val="24"/>
          <w:szCs w:val="24"/>
        </w:rPr>
        <w:lastRenderedPageBreak/>
        <w:t>observación, enseñándoles a generalizar lo aprendido a otros espacios y momentos del día e incorporando sistemas de comunicación que les permitan interactuar con otras personas en situaciones reales, como realizar la compra de un producto (Ministerio de Educación, Cultura y Deporte de España, 2017, p. 50).</w:t>
      </w:r>
    </w:p>
    <w:p w14:paraId="0000003F" w14:textId="77777777" w:rsidR="00ED195E" w:rsidRDefault="00000000">
      <w:pPr>
        <w:pBdr>
          <w:top w:val="nil"/>
          <w:left w:val="nil"/>
          <w:bottom w:val="nil"/>
          <w:right w:val="nil"/>
          <w:between w:val="nil"/>
        </w:pBdr>
        <w:spacing w:before="200" w:line="360" w:lineRule="auto"/>
        <w:ind w:right="43"/>
        <w:rPr>
          <w:color w:val="000000"/>
          <w:sz w:val="24"/>
          <w:szCs w:val="24"/>
        </w:rPr>
      </w:pPr>
      <w:r>
        <w:rPr>
          <w:color w:val="000000"/>
          <w:sz w:val="24"/>
          <w:szCs w:val="24"/>
        </w:rPr>
        <w:t>Finalmente, en esa misma línea de promover autonomía, el docente también cumple un rol clave al enseñar al estudiante con sordoceguera estrategias de comunicación que le permitan interactuar con personas fuera de su entorno habitual. Esta área es esencial, ya que muchos de los interlocutores con los que el estudiante se encontrará —docentes nuevos, personal de la escuela, comerciantes o transeúntes— no conocen su sistema de comunicación. Por ello, el docente analiza cómo el estudiante comprende y expresa información, para enseñarle recursos que faciliten hacerse entender en situaciones reales (Ministerio de Educación, Cultura y Deporte de España, 2017, p. 51).</w:t>
      </w:r>
    </w:p>
    <w:p w14:paraId="00000040" w14:textId="77777777" w:rsidR="00ED195E" w:rsidRDefault="00000000">
      <w:pPr>
        <w:pBdr>
          <w:top w:val="nil"/>
          <w:left w:val="nil"/>
          <w:bottom w:val="nil"/>
          <w:right w:val="nil"/>
          <w:between w:val="nil"/>
        </w:pBdr>
        <w:spacing w:before="200" w:line="360" w:lineRule="auto"/>
        <w:ind w:right="42"/>
        <w:rPr>
          <w:color w:val="000000"/>
          <w:sz w:val="24"/>
          <w:szCs w:val="24"/>
        </w:rPr>
      </w:pPr>
      <w:r>
        <w:rPr>
          <w:color w:val="000000"/>
          <w:sz w:val="24"/>
          <w:szCs w:val="24"/>
        </w:rPr>
        <w:t>Dependiendo del nivel de funcionamiento del alumno, estas formas de comunicarse pueden basarse en el habla, la escritura o gestos naturales. El docente puede practicar con él la escritura de frases útiles que le permitan solicitar ayuda o información, como pedir que lo acompañen a un lugar. En otros casos, cuando el estudiante no puede escribir o no utiliza lengua de señas, el docente introduce apoyos alternativos como tarjetas o cuadernos de comunicación previamente elaborados. Estos materiales pueden combinar frases con fotografías, dibujos u objetos que el estudiante reconoce y que le permiten señalar lo que necesita o desea en una interacción con el público (Ministerio de Educación, Cultura y Deporte de España, 2017, pp. 51-52).</w:t>
      </w:r>
    </w:p>
    <w:p w14:paraId="00000041" w14:textId="77777777" w:rsidR="00ED195E" w:rsidRDefault="00000000">
      <w:pPr>
        <w:pBdr>
          <w:top w:val="nil"/>
          <w:left w:val="nil"/>
          <w:bottom w:val="nil"/>
          <w:right w:val="nil"/>
          <w:between w:val="nil"/>
        </w:pBdr>
        <w:spacing w:before="200" w:line="360" w:lineRule="auto"/>
        <w:ind w:right="51"/>
        <w:rPr>
          <w:color w:val="000000"/>
          <w:sz w:val="24"/>
          <w:szCs w:val="24"/>
        </w:rPr>
      </w:pPr>
      <w:r>
        <w:rPr>
          <w:color w:val="000000"/>
          <w:sz w:val="24"/>
          <w:szCs w:val="24"/>
        </w:rPr>
        <w:t>En definitiva, estas cuatro áreas son solo un ejemplo de todo lo que la labor docente puede abarcar. El docente no se limita a enseñar estrategias de comunicación, técnicas de movilidad, o habilidades de vida diaria; su tarea se extiende a cada gesto que acompaña, cada barrera que ayuda a derribar y cada oportunidad que crea.</w:t>
      </w:r>
    </w:p>
    <w:p w14:paraId="00000042" w14:textId="77777777" w:rsidR="00ED195E" w:rsidRDefault="00000000">
      <w:pPr>
        <w:pBdr>
          <w:top w:val="nil"/>
          <w:left w:val="nil"/>
          <w:bottom w:val="nil"/>
          <w:right w:val="nil"/>
          <w:between w:val="nil"/>
        </w:pBdr>
        <w:spacing w:before="200" w:line="360" w:lineRule="auto"/>
        <w:ind w:right="41"/>
        <w:rPr>
          <w:color w:val="000000"/>
          <w:sz w:val="24"/>
          <w:szCs w:val="24"/>
        </w:rPr>
      </w:pPr>
      <w:r>
        <w:rPr>
          <w:color w:val="000000"/>
          <w:sz w:val="24"/>
          <w:szCs w:val="24"/>
        </w:rPr>
        <w:t>La docencia es un trabajo que exige paciencia, creatividad, compromiso y, sobre todo, una profunda convicción de que cada estudiante merece una educación digna y plena. Por ello, la labor docente en la educación de estudiantes con sordoceguera no solo es importante: es invaluable. Es una tarea que merece ser visibilizada, reconocida y valorada.</w:t>
      </w:r>
    </w:p>
    <w:p w14:paraId="00000043" w14:textId="77777777" w:rsidR="00ED195E" w:rsidRDefault="00000000">
      <w:pPr>
        <w:pBdr>
          <w:top w:val="nil"/>
          <w:left w:val="nil"/>
          <w:bottom w:val="nil"/>
          <w:right w:val="nil"/>
          <w:between w:val="nil"/>
        </w:pBdr>
        <w:spacing w:before="200" w:line="360" w:lineRule="auto"/>
        <w:ind w:right="48"/>
        <w:rPr>
          <w:color w:val="000000"/>
          <w:sz w:val="24"/>
          <w:szCs w:val="24"/>
        </w:rPr>
      </w:pPr>
      <w:r>
        <w:rPr>
          <w:color w:val="000000"/>
          <w:sz w:val="24"/>
          <w:szCs w:val="24"/>
        </w:rPr>
        <w:t>Porque en un país donde muchas manos pueden sentir ausencia, también están presentes aquellas manos que guían, construyen, transforman, y permiten que la educación se sienta.</w:t>
      </w:r>
    </w:p>
    <w:p w14:paraId="00000044" w14:textId="77777777" w:rsidR="00ED195E" w:rsidRDefault="00ED195E">
      <w:pPr>
        <w:pBdr>
          <w:top w:val="nil"/>
          <w:left w:val="nil"/>
          <w:bottom w:val="nil"/>
          <w:right w:val="nil"/>
          <w:between w:val="nil"/>
        </w:pBdr>
        <w:spacing w:before="200" w:line="360" w:lineRule="auto"/>
        <w:ind w:right="48"/>
        <w:rPr>
          <w:sz w:val="24"/>
          <w:szCs w:val="24"/>
        </w:rPr>
      </w:pPr>
    </w:p>
    <w:p w14:paraId="00000045" w14:textId="77777777" w:rsidR="00ED195E" w:rsidRDefault="00ED195E">
      <w:pPr>
        <w:pBdr>
          <w:top w:val="nil"/>
          <w:left w:val="nil"/>
          <w:bottom w:val="nil"/>
          <w:right w:val="nil"/>
          <w:between w:val="nil"/>
        </w:pBdr>
        <w:spacing w:before="200" w:line="360" w:lineRule="auto"/>
        <w:ind w:right="48"/>
        <w:rPr>
          <w:sz w:val="24"/>
          <w:szCs w:val="24"/>
        </w:rPr>
      </w:pPr>
    </w:p>
    <w:p w14:paraId="00000046" w14:textId="77777777" w:rsidR="00ED195E" w:rsidRDefault="00ED195E">
      <w:pPr>
        <w:pBdr>
          <w:top w:val="nil"/>
          <w:left w:val="nil"/>
          <w:bottom w:val="nil"/>
          <w:right w:val="nil"/>
          <w:between w:val="nil"/>
        </w:pBdr>
        <w:spacing w:before="200" w:line="360" w:lineRule="auto"/>
        <w:ind w:right="48"/>
        <w:rPr>
          <w:sz w:val="24"/>
          <w:szCs w:val="24"/>
        </w:rPr>
      </w:pPr>
    </w:p>
    <w:p w14:paraId="00000047" w14:textId="77777777" w:rsidR="00ED195E" w:rsidRDefault="00ED195E">
      <w:pPr>
        <w:pBdr>
          <w:top w:val="nil"/>
          <w:left w:val="nil"/>
          <w:bottom w:val="nil"/>
          <w:right w:val="nil"/>
          <w:between w:val="nil"/>
        </w:pBdr>
        <w:spacing w:before="200" w:line="360" w:lineRule="auto"/>
        <w:ind w:right="48"/>
        <w:rPr>
          <w:sz w:val="24"/>
          <w:szCs w:val="24"/>
        </w:rPr>
      </w:pPr>
    </w:p>
    <w:p w14:paraId="00000048" w14:textId="77777777" w:rsidR="00ED195E" w:rsidRDefault="00ED195E">
      <w:pPr>
        <w:pBdr>
          <w:top w:val="nil"/>
          <w:left w:val="nil"/>
          <w:bottom w:val="nil"/>
          <w:right w:val="nil"/>
          <w:between w:val="nil"/>
        </w:pBdr>
        <w:spacing w:before="200" w:line="360" w:lineRule="auto"/>
        <w:ind w:right="48"/>
        <w:rPr>
          <w:sz w:val="24"/>
          <w:szCs w:val="24"/>
        </w:rPr>
      </w:pPr>
    </w:p>
    <w:p w14:paraId="00000049" w14:textId="77777777" w:rsidR="00ED195E" w:rsidRDefault="00ED195E">
      <w:pPr>
        <w:pBdr>
          <w:top w:val="nil"/>
          <w:left w:val="nil"/>
          <w:bottom w:val="nil"/>
          <w:right w:val="nil"/>
          <w:between w:val="nil"/>
        </w:pBdr>
        <w:spacing w:before="200" w:line="360" w:lineRule="auto"/>
        <w:ind w:right="48"/>
        <w:rPr>
          <w:sz w:val="24"/>
          <w:szCs w:val="24"/>
        </w:rPr>
      </w:pPr>
    </w:p>
    <w:p w14:paraId="0000004A" w14:textId="77777777" w:rsidR="00ED195E" w:rsidRDefault="00ED195E">
      <w:pPr>
        <w:pBdr>
          <w:top w:val="nil"/>
          <w:left w:val="nil"/>
          <w:bottom w:val="nil"/>
          <w:right w:val="nil"/>
          <w:between w:val="nil"/>
        </w:pBdr>
        <w:spacing w:before="200" w:line="360" w:lineRule="auto"/>
        <w:ind w:right="48"/>
        <w:rPr>
          <w:sz w:val="24"/>
          <w:szCs w:val="24"/>
        </w:rPr>
      </w:pPr>
    </w:p>
    <w:p w14:paraId="0000004B" w14:textId="77777777" w:rsidR="00ED195E" w:rsidRDefault="00ED195E">
      <w:pPr>
        <w:pBdr>
          <w:top w:val="nil"/>
          <w:left w:val="nil"/>
          <w:bottom w:val="nil"/>
          <w:right w:val="nil"/>
          <w:between w:val="nil"/>
        </w:pBdr>
        <w:spacing w:before="200" w:line="360" w:lineRule="auto"/>
        <w:ind w:right="48"/>
        <w:rPr>
          <w:sz w:val="24"/>
          <w:szCs w:val="24"/>
        </w:rPr>
      </w:pPr>
    </w:p>
    <w:p w14:paraId="0000004C" w14:textId="77777777" w:rsidR="00ED195E" w:rsidRDefault="00ED195E">
      <w:pPr>
        <w:pBdr>
          <w:top w:val="nil"/>
          <w:left w:val="nil"/>
          <w:bottom w:val="nil"/>
          <w:right w:val="nil"/>
          <w:between w:val="nil"/>
        </w:pBdr>
        <w:spacing w:before="200" w:line="360" w:lineRule="auto"/>
        <w:ind w:right="48"/>
        <w:rPr>
          <w:sz w:val="24"/>
          <w:szCs w:val="24"/>
        </w:rPr>
      </w:pPr>
    </w:p>
    <w:p w14:paraId="0000004D" w14:textId="77777777" w:rsidR="00ED195E" w:rsidRDefault="00ED195E">
      <w:pPr>
        <w:pBdr>
          <w:top w:val="nil"/>
          <w:left w:val="nil"/>
          <w:bottom w:val="nil"/>
          <w:right w:val="nil"/>
          <w:between w:val="nil"/>
        </w:pBdr>
        <w:spacing w:before="200" w:line="360" w:lineRule="auto"/>
        <w:ind w:right="48"/>
        <w:rPr>
          <w:sz w:val="24"/>
          <w:szCs w:val="24"/>
        </w:rPr>
      </w:pPr>
    </w:p>
    <w:p w14:paraId="0000004E" w14:textId="77777777" w:rsidR="00ED195E" w:rsidRDefault="00ED195E">
      <w:pPr>
        <w:pBdr>
          <w:top w:val="nil"/>
          <w:left w:val="nil"/>
          <w:bottom w:val="nil"/>
          <w:right w:val="nil"/>
          <w:between w:val="nil"/>
        </w:pBdr>
        <w:spacing w:before="200" w:line="360" w:lineRule="auto"/>
        <w:ind w:right="48"/>
        <w:rPr>
          <w:sz w:val="24"/>
          <w:szCs w:val="24"/>
        </w:rPr>
      </w:pPr>
    </w:p>
    <w:p w14:paraId="0000004F" w14:textId="77777777" w:rsidR="00ED195E" w:rsidRDefault="00ED195E">
      <w:pPr>
        <w:pBdr>
          <w:top w:val="nil"/>
          <w:left w:val="nil"/>
          <w:bottom w:val="nil"/>
          <w:right w:val="nil"/>
          <w:between w:val="nil"/>
        </w:pBdr>
        <w:spacing w:before="200" w:line="360" w:lineRule="auto"/>
        <w:ind w:right="48"/>
        <w:rPr>
          <w:sz w:val="24"/>
          <w:szCs w:val="24"/>
        </w:rPr>
      </w:pPr>
    </w:p>
    <w:p w14:paraId="00000050" w14:textId="77777777" w:rsidR="00ED195E" w:rsidRDefault="00ED195E">
      <w:pPr>
        <w:pBdr>
          <w:top w:val="nil"/>
          <w:left w:val="nil"/>
          <w:bottom w:val="nil"/>
          <w:right w:val="nil"/>
          <w:between w:val="nil"/>
        </w:pBdr>
        <w:spacing w:before="200" w:line="360" w:lineRule="auto"/>
        <w:ind w:right="48"/>
        <w:rPr>
          <w:sz w:val="24"/>
          <w:szCs w:val="24"/>
        </w:rPr>
      </w:pPr>
    </w:p>
    <w:p w14:paraId="00000051" w14:textId="77777777" w:rsidR="00ED195E" w:rsidRDefault="00ED195E">
      <w:pPr>
        <w:pBdr>
          <w:top w:val="nil"/>
          <w:left w:val="nil"/>
          <w:bottom w:val="nil"/>
          <w:right w:val="nil"/>
          <w:between w:val="nil"/>
        </w:pBdr>
        <w:spacing w:before="200" w:line="360" w:lineRule="auto"/>
        <w:ind w:right="48"/>
        <w:rPr>
          <w:sz w:val="24"/>
          <w:szCs w:val="24"/>
        </w:rPr>
      </w:pPr>
    </w:p>
    <w:p w14:paraId="00000052" w14:textId="77777777" w:rsidR="00ED195E" w:rsidRDefault="00ED195E">
      <w:pPr>
        <w:pBdr>
          <w:top w:val="nil"/>
          <w:left w:val="nil"/>
          <w:bottom w:val="nil"/>
          <w:right w:val="nil"/>
          <w:between w:val="nil"/>
        </w:pBdr>
        <w:spacing w:before="200" w:line="360" w:lineRule="auto"/>
        <w:ind w:right="48"/>
        <w:rPr>
          <w:sz w:val="24"/>
          <w:szCs w:val="24"/>
        </w:rPr>
      </w:pPr>
    </w:p>
    <w:p w14:paraId="00000053" w14:textId="77777777" w:rsidR="00ED195E" w:rsidRDefault="00ED195E">
      <w:pPr>
        <w:pBdr>
          <w:top w:val="nil"/>
          <w:left w:val="nil"/>
          <w:bottom w:val="nil"/>
          <w:right w:val="nil"/>
          <w:between w:val="nil"/>
        </w:pBdr>
        <w:spacing w:before="200" w:line="360" w:lineRule="auto"/>
        <w:ind w:right="48"/>
        <w:rPr>
          <w:sz w:val="24"/>
          <w:szCs w:val="24"/>
        </w:rPr>
      </w:pPr>
    </w:p>
    <w:p w14:paraId="00000054" w14:textId="77777777" w:rsidR="00ED195E" w:rsidRDefault="00ED195E">
      <w:pPr>
        <w:pBdr>
          <w:top w:val="nil"/>
          <w:left w:val="nil"/>
          <w:bottom w:val="nil"/>
          <w:right w:val="nil"/>
          <w:between w:val="nil"/>
        </w:pBdr>
        <w:spacing w:before="200" w:line="360" w:lineRule="auto"/>
        <w:ind w:right="48"/>
        <w:rPr>
          <w:sz w:val="24"/>
          <w:szCs w:val="24"/>
        </w:rPr>
      </w:pPr>
    </w:p>
    <w:p w14:paraId="00000055" w14:textId="77777777" w:rsidR="00ED195E" w:rsidRDefault="00ED195E">
      <w:pPr>
        <w:pBdr>
          <w:top w:val="nil"/>
          <w:left w:val="nil"/>
          <w:bottom w:val="nil"/>
          <w:right w:val="nil"/>
          <w:between w:val="nil"/>
        </w:pBdr>
        <w:spacing w:before="200" w:line="360" w:lineRule="auto"/>
        <w:ind w:right="48"/>
        <w:rPr>
          <w:sz w:val="24"/>
          <w:szCs w:val="24"/>
        </w:rPr>
      </w:pPr>
    </w:p>
    <w:p w14:paraId="00000056" w14:textId="77777777" w:rsidR="00ED195E" w:rsidRDefault="00ED195E">
      <w:pPr>
        <w:pBdr>
          <w:top w:val="nil"/>
          <w:left w:val="nil"/>
          <w:bottom w:val="nil"/>
          <w:right w:val="nil"/>
          <w:between w:val="nil"/>
        </w:pBdr>
        <w:spacing w:before="200" w:line="360" w:lineRule="auto"/>
        <w:ind w:right="48"/>
        <w:rPr>
          <w:sz w:val="24"/>
          <w:szCs w:val="24"/>
        </w:rPr>
      </w:pPr>
    </w:p>
    <w:p w14:paraId="00000057" w14:textId="77777777" w:rsidR="00ED195E" w:rsidRDefault="00ED195E">
      <w:pPr>
        <w:pBdr>
          <w:top w:val="nil"/>
          <w:left w:val="nil"/>
          <w:bottom w:val="nil"/>
          <w:right w:val="nil"/>
          <w:between w:val="nil"/>
        </w:pBdr>
        <w:spacing w:before="200" w:line="360" w:lineRule="auto"/>
        <w:ind w:right="48"/>
        <w:rPr>
          <w:sz w:val="24"/>
          <w:szCs w:val="24"/>
        </w:rPr>
      </w:pPr>
    </w:p>
    <w:p w14:paraId="00000058" w14:textId="77777777" w:rsidR="00ED195E" w:rsidRDefault="00ED195E">
      <w:pPr>
        <w:pBdr>
          <w:top w:val="nil"/>
          <w:left w:val="nil"/>
          <w:bottom w:val="nil"/>
          <w:right w:val="nil"/>
          <w:between w:val="nil"/>
        </w:pBdr>
        <w:spacing w:before="200" w:line="360" w:lineRule="auto"/>
        <w:ind w:right="48"/>
        <w:rPr>
          <w:sz w:val="24"/>
          <w:szCs w:val="24"/>
        </w:rPr>
      </w:pPr>
    </w:p>
    <w:p w14:paraId="00000059" w14:textId="77777777" w:rsidR="00ED195E" w:rsidRDefault="00ED195E">
      <w:pPr>
        <w:pBdr>
          <w:top w:val="nil"/>
          <w:left w:val="nil"/>
          <w:bottom w:val="nil"/>
          <w:right w:val="nil"/>
          <w:between w:val="nil"/>
        </w:pBdr>
        <w:spacing w:before="200" w:line="360" w:lineRule="auto"/>
        <w:ind w:right="48"/>
        <w:rPr>
          <w:sz w:val="24"/>
          <w:szCs w:val="24"/>
        </w:rPr>
      </w:pPr>
    </w:p>
    <w:p w14:paraId="0000005A" w14:textId="77777777" w:rsidR="00ED195E" w:rsidRDefault="00ED195E">
      <w:pPr>
        <w:pBdr>
          <w:top w:val="nil"/>
          <w:left w:val="nil"/>
          <w:bottom w:val="nil"/>
          <w:right w:val="nil"/>
          <w:between w:val="nil"/>
        </w:pBdr>
        <w:spacing w:before="200" w:line="360" w:lineRule="auto"/>
        <w:ind w:right="48"/>
        <w:rPr>
          <w:sz w:val="24"/>
          <w:szCs w:val="24"/>
        </w:rPr>
      </w:pPr>
    </w:p>
    <w:p w14:paraId="0000005B" w14:textId="77777777" w:rsidR="00ED195E" w:rsidRDefault="00ED195E">
      <w:pPr>
        <w:pBdr>
          <w:top w:val="nil"/>
          <w:left w:val="nil"/>
          <w:bottom w:val="nil"/>
          <w:right w:val="nil"/>
          <w:between w:val="nil"/>
        </w:pBdr>
        <w:spacing w:before="200" w:line="360" w:lineRule="auto"/>
        <w:ind w:right="48"/>
        <w:rPr>
          <w:sz w:val="24"/>
          <w:szCs w:val="24"/>
        </w:rPr>
      </w:pPr>
    </w:p>
    <w:p w14:paraId="0000005C" w14:textId="77777777" w:rsidR="00ED195E" w:rsidRDefault="00000000">
      <w:pPr>
        <w:pStyle w:val="Heading1"/>
        <w:spacing w:before="200" w:line="360" w:lineRule="auto"/>
        <w:ind w:left="0"/>
        <w:rPr>
          <w:b w:val="0"/>
          <w:bCs w:val="0"/>
          <w:sz w:val="24"/>
          <w:szCs w:val="24"/>
        </w:rPr>
      </w:pPr>
      <w:r>
        <w:rPr>
          <w:b w:val="0"/>
          <w:bCs w:val="0"/>
          <w:sz w:val="24"/>
          <w:szCs w:val="24"/>
        </w:rPr>
        <w:t>REFERENCIAS</w:t>
      </w:r>
    </w:p>
    <w:p w14:paraId="0000005D" w14:textId="77777777" w:rsidR="00ED195E" w:rsidRDefault="00000000">
      <w:pPr>
        <w:spacing w:before="200" w:line="360" w:lineRule="auto"/>
        <w:ind w:right="46"/>
        <w:rPr>
          <w:sz w:val="24"/>
          <w:szCs w:val="24"/>
        </w:rPr>
      </w:pPr>
      <w:r>
        <w:rPr>
          <w:sz w:val="24"/>
          <w:szCs w:val="24"/>
        </w:rPr>
        <w:lastRenderedPageBreak/>
        <w:t xml:space="preserve">Canal Trece Colombia. (25 de julio de 2022). ¿Cómo viven y se comunican las personas con sordoceguera en </w:t>
      </w:r>
      <w:proofErr w:type="gramStart"/>
      <w:r>
        <w:rPr>
          <w:sz w:val="24"/>
          <w:szCs w:val="24"/>
        </w:rPr>
        <w:t>Colombia?.</w:t>
      </w:r>
      <w:proofErr w:type="gramEnd"/>
      <w:r>
        <w:rPr>
          <w:sz w:val="24"/>
          <w:szCs w:val="24"/>
        </w:rPr>
        <w:t xml:space="preserve"> [Archivo de Vídeo]. </w:t>
      </w:r>
      <w:proofErr w:type="spellStart"/>
      <w:r>
        <w:rPr>
          <w:sz w:val="24"/>
          <w:szCs w:val="24"/>
        </w:rPr>
        <w:t>Youtube</w:t>
      </w:r>
      <w:proofErr w:type="spellEnd"/>
      <w:r>
        <w:rPr>
          <w:sz w:val="24"/>
          <w:szCs w:val="24"/>
        </w:rPr>
        <w:t xml:space="preserve">. </w:t>
      </w:r>
      <w:hyperlink r:id="rId6">
        <w:r>
          <w:rPr>
            <w:color w:val="1154CC"/>
            <w:sz w:val="24"/>
            <w:szCs w:val="24"/>
          </w:rPr>
          <w:t>https://www.youtube.com/watch?v=vOTKca9EQj4</w:t>
        </w:r>
      </w:hyperlink>
    </w:p>
    <w:p w14:paraId="0000005E" w14:textId="77777777" w:rsidR="00ED195E" w:rsidRDefault="00000000">
      <w:pPr>
        <w:spacing w:before="200" w:line="360" w:lineRule="auto"/>
        <w:ind w:right="43"/>
        <w:rPr>
          <w:sz w:val="24"/>
          <w:szCs w:val="24"/>
        </w:rPr>
      </w:pPr>
      <w:r>
        <w:rPr>
          <w:sz w:val="24"/>
          <w:szCs w:val="24"/>
        </w:rPr>
        <w:t xml:space="preserve">Ministerio de Educación, Cultura y Deporte de España. (2017). Intervención educativa en el alumnado con sordoceguera: Guías prácticas de orientaciones para la inclusión educativa. Ministerio de Educación, Cultura y Deporte de España. </w:t>
      </w:r>
      <w:hyperlink r:id="rId7">
        <w:r>
          <w:rPr>
            <w:color w:val="1154CC"/>
            <w:sz w:val="24"/>
            <w:szCs w:val="24"/>
          </w:rPr>
          <w:t>https://biblioteca.fundaciononce.es/system/files/18731.pdf</w:t>
        </w:r>
      </w:hyperlink>
    </w:p>
    <w:p w14:paraId="0000005F" w14:textId="77777777" w:rsidR="00ED195E" w:rsidRDefault="00000000">
      <w:pPr>
        <w:tabs>
          <w:tab w:val="left" w:pos="2980"/>
          <w:tab w:val="left" w:pos="4747"/>
          <w:tab w:val="left" w:pos="5817"/>
          <w:tab w:val="left" w:pos="7670"/>
          <w:tab w:val="left" w:pos="8789"/>
        </w:tabs>
        <w:spacing w:before="200" w:line="360" w:lineRule="auto"/>
        <w:ind w:right="41"/>
        <w:rPr>
          <w:sz w:val="24"/>
          <w:szCs w:val="24"/>
        </w:rPr>
      </w:pPr>
      <w:r>
        <w:rPr>
          <w:sz w:val="24"/>
          <w:szCs w:val="24"/>
        </w:rPr>
        <w:t>Ministerio de Educación del Perú. (2023). Orientaciones para la atención de estudiantes con sordoceguera.</w:t>
      </w:r>
      <w:r>
        <w:rPr>
          <w:sz w:val="24"/>
          <w:szCs w:val="24"/>
        </w:rPr>
        <w:tab/>
        <w:t>Ministerio</w:t>
      </w:r>
      <w:r>
        <w:rPr>
          <w:sz w:val="24"/>
          <w:szCs w:val="24"/>
        </w:rPr>
        <w:tab/>
        <w:t>de</w:t>
      </w:r>
      <w:r>
        <w:rPr>
          <w:sz w:val="24"/>
          <w:szCs w:val="24"/>
        </w:rPr>
        <w:tab/>
        <w:t>Educación</w:t>
      </w:r>
      <w:r>
        <w:rPr>
          <w:sz w:val="24"/>
          <w:szCs w:val="24"/>
        </w:rPr>
        <w:tab/>
        <w:t>del</w:t>
      </w:r>
      <w:r>
        <w:rPr>
          <w:sz w:val="24"/>
          <w:szCs w:val="24"/>
        </w:rPr>
        <w:tab/>
        <w:t xml:space="preserve">Perú. </w:t>
      </w:r>
      <w:hyperlink r:id="rId8">
        <w:r>
          <w:rPr>
            <w:color w:val="1154CC"/>
            <w:sz w:val="24"/>
            <w:szCs w:val="24"/>
          </w:rPr>
          <w:t>https://repositorio.minedu.gob.pe/bitstream/handle/20.500.12799/8984/Orientaciones%</w:t>
        </w:r>
      </w:hyperlink>
      <w:r>
        <w:rPr>
          <w:color w:val="1154CC"/>
          <w:sz w:val="24"/>
          <w:szCs w:val="24"/>
        </w:rPr>
        <w:t xml:space="preserve"> </w:t>
      </w:r>
      <w:hyperlink r:id="rId9">
        <w:r>
          <w:rPr>
            <w:color w:val="1154CC"/>
            <w:sz w:val="24"/>
            <w:szCs w:val="24"/>
          </w:rPr>
          <w:t>20para%20la%20atenci%C3%B3n%20de%20estudiantes%20con%20sordoceguera.pd</w:t>
        </w:r>
      </w:hyperlink>
      <w:r>
        <w:rPr>
          <w:color w:val="1154CC"/>
          <w:sz w:val="24"/>
          <w:szCs w:val="24"/>
        </w:rPr>
        <w:t xml:space="preserve"> </w:t>
      </w:r>
      <w:hyperlink r:id="rId10">
        <w:proofErr w:type="spellStart"/>
        <w:r>
          <w:rPr>
            <w:color w:val="1154CC"/>
            <w:sz w:val="24"/>
            <w:szCs w:val="24"/>
          </w:rPr>
          <w:t>f?sequence</w:t>
        </w:r>
        <w:proofErr w:type="spellEnd"/>
        <w:r>
          <w:rPr>
            <w:color w:val="1154CC"/>
            <w:sz w:val="24"/>
            <w:szCs w:val="24"/>
          </w:rPr>
          <w:t>=1&amp;isAllowed=y</w:t>
        </w:r>
      </w:hyperlink>
    </w:p>
    <w:p w14:paraId="00000060" w14:textId="77777777" w:rsidR="00ED195E" w:rsidRDefault="00000000">
      <w:pPr>
        <w:spacing w:before="200" w:line="360" w:lineRule="auto"/>
        <w:ind w:right="43"/>
        <w:rPr>
          <w:color w:val="000000"/>
          <w:sz w:val="24"/>
          <w:szCs w:val="24"/>
        </w:rPr>
      </w:pPr>
      <w:r>
        <w:rPr>
          <w:sz w:val="24"/>
          <w:szCs w:val="24"/>
        </w:rPr>
        <w:t xml:space="preserve">World </w:t>
      </w:r>
      <w:proofErr w:type="spellStart"/>
      <w:r>
        <w:rPr>
          <w:sz w:val="24"/>
          <w:szCs w:val="24"/>
        </w:rPr>
        <w:t>Federation</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Deafblind</w:t>
      </w:r>
      <w:proofErr w:type="spellEnd"/>
      <w:r>
        <w:rPr>
          <w:sz w:val="24"/>
          <w:szCs w:val="24"/>
        </w:rPr>
        <w:t xml:space="preserve">. (2023). Segundo Informe Mundial sobre la situación de las personas con sordoceguera: Buenas Prácticas y Recomendaciones para la Inclusión de las Personas con Sordoceguera. World </w:t>
      </w:r>
      <w:proofErr w:type="spellStart"/>
      <w:r>
        <w:rPr>
          <w:sz w:val="24"/>
          <w:szCs w:val="24"/>
        </w:rPr>
        <w:t>Federation</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Deafblind</w:t>
      </w:r>
      <w:proofErr w:type="spellEnd"/>
      <w:r>
        <w:rPr>
          <w:sz w:val="24"/>
          <w:szCs w:val="24"/>
        </w:rPr>
        <w:t xml:space="preserve">. </w:t>
      </w:r>
      <w:hyperlink r:id="rId11">
        <w:r>
          <w:rPr>
            <w:color w:val="1154CC"/>
            <w:sz w:val="24"/>
            <w:szCs w:val="24"/>
          </w:rPr>
          <w:t>https://wfdb.eu/wp-content/uploads/2023/03/SPA_WFDB-2nd-Global-Report_-FINAL-V6</w:t>
        </w:r>
      </w:hyperlink>
      <w:hyperlink r:id="rId12">
        <w:r>
          <w:rPr>
            <w:color w:val="1154CC"/>
            <w:sz w:val="24"/>
            <w:szCs w:val="24"/>
          </w:rPr>
          <w:t>.pdf</w:t>
        </w:r>
      </w:hyperlink>
    </w:p>
    <w:sectPr w:rsidR="00ED195E">
      <w:pgSz w:w="11920" w:h="16840"/>
      <w:pgMar w:top="1240" w:right="1275" w:bottom="280" w:left="1275"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BAD80E5C-CEAE-4D8B-AD19-F5DC57A8088E}"/>
  </w:font>
  <w:font w:name="Calibri">
    <w:panose1 w:val="020F0502020204030204"/>
    <w:charset w:val="00"/>
    <w:family w:val="swiss"/>
    <w:pitch w:val="variable"/>
    <w:sig w:usb0="E4002EFF" w:usb1="C200247B" w:usb2="00000009" w:usb3="00000000" w:csb0="000001FF" w:csb1="00000000"/>
    <w:embedRegular r:id="rId2" w:fontKey="{69E693A5-B083-430A-8343-DA64F7A5724E}"/>
  </w:font>
  <w:font w:name="Cambria">
    <w:panose1 w:val="02040503050406030204"/>
    <w:charset w:val="00"/>
    <w:family w:val="roman"/>
    <w:pitch w:val="variable"/>
    <w:sig w:usb0="E00006FF" w:usb1="420024FF" w:usb2="02000000" w:usb3="00000000" w:csb0="0000019F" w:csb1="00000000"/>
    <w:embedRegular r:id="rId3" w:fontKey="{4979CF04-FBEA-4A7E-B20D-51722B7275A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95E"/>
    <w:rsid w:val="007B12C8"/>
    <w:rsid w:val="00B56A54"/>
    <w:rsid w:val="00ED19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FCE0A0-7A7C-47EB-BA5A-3B8514C8C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28"/>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64"/>
      <w:ind w:left="28" w:right="42"/>
      <w:jc w:val="both"/>
    </w:pPr>
    <w:rPr>
      <w:b/>
      <w:bCs/>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positorio.minedu.gob.pe/bitstream/handle/20.500.12799/8984/Orientaciones%20para%20la%20atenci%C3%B3n%20de%20estudiantes%20con%20sordoceguera.pdf?sequence=1&amp;isAllowed=y"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iblioteca.fundaciononce.es/system/files/18731.pdf" TargetMode="External"/><Relationship Id="rId12" Type="http://schemas.openxmlformats.org/officeDocument/2006/relationships/hyperlink" Target="https://wfdb.eu/wp-content/uploads/2023/03/SPA_WFDB-2nd-Global-Report_-FINAL-V6.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vOTKca9EQj4" TargetMode="External"/><Relationship Id="rId11" Type="http://schemas.openxmlformats.org/officeDocument/2006/relationships/hyperlink" Target="https://wfdb.eu/wp-content/uploads/2023/03/SPA_WFDB-2nd-Global-Report_-FINAL-V6.pdf" TargetMode="External"/><Relationship Id="rId5" Type="http://schemas.openxmlformats.org/officeDocument/2006/relationships/hyperlink" Target="mailto:jhinojosay@unife.edu.pe" TargetMode="External"/><Relationship Id="rId10" Type="http://schemas.openxmlformats.org/officeDocument/2006/relationships/hyperlink" Target="https://repositorio.minedu.gob.pe/bitstream/handle/20.500.12799/8984/Orientaciones%20para%20la%20atenci%C3%B3n%20de%20estudiantes%20con%20sordoceguera.pdf?sequence=1&amp;isAllowed=y" TargetMode="External"/><Relationship Id="rId4" Type="http://schemas.openxmlformats.org/officeDocument/2006/relationships/hyperlink" Target="mailto:gabriela.unoccp@unife.pe" TargetMode="External"/><Relationship Id="rId9" Type="http://schemas.openxmlformats.org/officeDocument/2006/relationships/hyperlink" Target="https://repositorio.minedu.gob.pe/bitstream/handle/20.500.12799/8984/Orientaciones%20para%20la%20atenci%C3%B3n%20de%20estudiantes%20con%20sordoceguera.pdf?sequence=1&amp;isAllowed=y"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2467</Words>
  <Characters>14068</Characters>
  <Application>Microsoft Office Word</Application>
  <DocSecurity>2</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Sense</Company>
  <LinksUpToDate>false</LinksUpToDate>
  <CharactersWithSpaces>16502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Laurie-Ann Mafusire</cp:lastModifiedBy>
  <cp:revision>2</cp:revision>
  <dcterms:created xsi:type="dcterms:W3CDTF">2026-03-16T14:51:00Z</dcterms:created>
  <dcterms:modified xsi:type="dcterms:W3CDTF">2026-03-16T14:52:00Z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2026-02-28T00:00:00Z</vt:lpwstr>
  </property>
  <property fmtid="{D5CDD505-2E9C-101B-9397-08002B2CF9AE}" pid="3" name="Producer">
    <vt:lpwstr>Skia/PDF m144 Google Docs Renderer</vt:lpwstr>
  </property>
  <property fmtid="{D5CDD505-2E9C-101B-9397-08002B2CF9AE}" pid="4" name="LastSaved">
    <vt:lpwstr>2026-02-28T00:00:00Z</vt:lpwstr>
  </property>
</Properties>
</file>