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69B1" w14:textId="77777777" w:rsidR="001F72F2" w:rsidRDefault="002719B2">
      <w:pPr>
        <w:pStyle w:val="Heading1"/>
        <w:spacing w:before="76" w:line="360" w:lineRule="auto"/>
        <w:ind w:left="283" w:right="354"/>
        <w:rPr>
          <w:b w:val="0"/>
          <w:bCs w:val="0"/>
          <w:sz w:val="34"/>
          <w:szCs w:val="34"/>
        </w:rPr>
      </w:pPr>
      <w:r>
        <w:rPr>
          <w:b w:val="0"/>
          <w:bCs w:val="0"/>
          <w:sz w:val="34"/>
          <w:szCs w:val="34"/>
        </w:rPr>
        <w:t>JUSTICIA INCLUSIVA Y TECNOLOGÍA: ANÁLISIS JURÍDICO, ÉTICO Y TECNOLÓGICO DEL ACCESO A LA JUSTICIA DE LAS PERSONAS SORDOCIEGAS EN EL PERÚ A TRAVÉS DEL USO DE LA INTELIGENCIA ARTIFICIAL</w:t>
      </w:r>
    </w:p>
    <w:p w14:paraId="0E8269B2" w14:textId="77777777" w:rsidR="001F72F2" w:rsidRDefault="001F72F2">
      <w:pPr>
        <w:pBdr>
          <w:top w:val="nil"/>
          <w:left w:val="nil"/>
          <w:bottom w:val="nil"/>
          <w:right w:val="nil"/>
          <w:between w:val="nil"/>
        </w:pBdr>
        <w:spacing w:before="1" w:line="360" w:lineRule="auto"/>
        <w:rPr>
          <w:color w:val="000000"/>
          <w:sz w:val="24"/>
          <w:szCs w:val="24"/>
        </w:rPr>
      </w:pPr>
    </w:p>
    <w:p w14:paraId="0E8269B3" w14:textId="77777777" w:rsidR="001F72F2" w:rsidRDefault="002719B2">
      <w:pPr>
        <w:spacing w:line="360" w:lineRule="auto"/>
        <w:ind w:left="283" w:right="1"/>
        <w:rPr>
          <w:sz w:val="24"/>
          <w:szCs w:val="24"/>
        </w:rPr>
      </w:pPr>
      <w:r>
        <w:rPr>
          <w:sz w:val="24"/>
          <w:szCs w:val="24"/>
        </w:rPr>
        <w:t>Autor:</w:t>
      </w:r>
    </w:p>
    <w:p w14:paraId="0E8269B4" w14:textId="77777777" w:rsidR="001F72F2" w:rsidRDefault="002719B2">
      <w:pPr>
        <w:spacing w:line="360" w:lineRule="auto"/>
        <w:ind w:left="283" w:right="2670"/>
        <w:rPr>
          <w:sz w:val="24"/>
          <w:szCs w:val="24"/>
        </w:rPr>
      </w:pPr>
      <w:r>
        <w:rPr>
          <w:sz w:val="24"/>
          <w:szCs w:val="24"/>
        </w:rPr>
        <w:t>Hugo Sebastián Cuadros Rodriguez</w:t>
      </w:r>
      <w:hyperlink w:anchor="_1m6kq53ycrbn">
        <w:r>
          <w:rPr>
            <w:sz w:val="24"/>
            <w:szCs w:val="24"/>
            <w:vertAlign w:val="superscript"/>
          </w:rPr>
          <w:t>1*</w:t>
        </w:r>
      </w:hyperlink>
      <w:r>
        <w:rPr>
          <w:sz w:val="24"/>
          <w:szCs w:val="24"/>
        </w:rPr>
        <w:t xml:space="preserve"> </w:t>
      </w:r>
    </w:p>
    <w:p w14:paraId="0E8269B5" w14:textId="77777777" w:rsidR="001F72F2" w:rsidRDefault="002719B2">
      <w:pPr>
        <w:spacing w:line="360" w:lineRule="auto"/>
        <w:ind w:left="283" w:right="2670"/>
        <w:rPr>
          <w:sz w:val="24"/>
          <w:szCs w:val="24"/>
        </w:rPr>
      </w:pPr>
      <w:r>
        <w:rPr>
          <w:sz w:val="24"/>
          <w:szCs w:val="24"/>
        </w:rPr>
        <w:t xml:space="preserve">Universidad Católica Sedes Sapientiae </w:t>
      </w:r>
    </w:p>
    <w:p w14:paraId="0E8269B6" w14:textId="77777777" w:rsidR="001F72F2" w:rsidRDefault="002719B2">
      <w:pPr>
        <w:spacing w:line="360" w:lineRule="auto"/>
        <w:ind w:left="283" w:right="2670"/>
        <w:rPr>
          <w:sz w:val="24"/>
          <w:szCs w:val="24"/>
        </w:rPr>
      </w:pPr>
      <w:r>
        <w:rPr>
          <w:sz w:val="24"/>
          <w:szCs w:val="24"/>
        </w:rPr>
        <w:t xml:space="preserve">Facultad de Derecho y Ciencias Políticas </w:t>
      </w:r>
      <w:hyperlink r:id="rId5">
        <w:r>
          <w:rPr>
            <w:color w:val="0462C1"/>
            <w:sz w:val="24"/>
            <w:szCs w:val="24"/>
          </w:rPr>
          <w:t>2020100286@ucss.pe</w:t>
        </w:r>
      </w:hyperlink>
      <w:r>
        <w:rPr>
          <w:color w:val="0462C1"/>
          <w:sz w:val="24"/>
          <w:szCs w:val="24"/>
        </w:rPr>
        <w:t xml:space="preserve"> </w:t>
      </w:r>
      <w:hyperlink r:id="rId6">
        <w:r>
          <w:rPr>
            <w:color w:val="0462C1"/>
            <w:sz w:val="24"/>
            <w:szCs w:val="24"/>
          </w:rPr>
          <w:t>https://orcid.org/0009-0009-5560-0701</w:t>
        </w:r>
      </w:hyperlink>
    </w:p>
    <w:p w14:paraId="0E8269B7" w14:textId="77777777" w:rsidR="001F72F2" w:rsidRDefault="001F72F2">
      <w:pPr>
        <w:pBdr>
          <w:top w:val="nil"/>
          <w:left w:val="nil"/>
          <w:bottom w:val="nil"/>
          <w:right w:val="nil"/>
          <w:between w:val="nil"/>
        </w:pBdr>
        <w:spacing w:before="1" w:line="360" w:lineRule="auto"/>
        <w:rPr>
          <w:color w:val="000000"/>
          <w:sz w:val="24"/>
          <w:szCs w:val="24"/>
        </w:rPr>
      </w:pPr>
    </w:p>
    <w:p w14:paraId="0E8269B8" w14:textId="77777777" w:rsidR="001F72F2" w:rsidRDefault="002719B2">
      <w:pPr>
        <w:spacing w:line="360" w:lineRule="auto"/>
        <w:ind w:left="283" w:right="3"/>
        <w:rPr>
          <w:sz w:val="24"/>
          <w:szCs w:val="24"/>
        </w:rPr>
      </w:pPr>
      <w:r>
        <w:rPr>
          <w:sz w:val="24"/>
          <w:szCs w:val="24"/>
        </w:rPr>
        <w:t>Aval:</w:t>
      </w:r>
    </w:p>
    <w:p w14:paraId="0E8269B9" w14:textId="77777777" w:rsidR="001F72F2" w:rsidRDefault="002719B2">
      <w:pPr>
        <w:spacing w:line="360" w:lineRule="auto"/>
        <w:ind w:left="283" w:right="4"/>
        <w:rPr>
          <w:sz w:val="24"/>
          <w:szCs w:val="24"/>
        </w:rPr>
      </w:pPr>
      <w:proofErr w:type="spellStart"/>
      <w:r>
        <w:rPr>
          <w:sz w:val="24"/>
          <w:szCs w:val="24"/>
        </w:rPr>
        <w:t>Nuccia</w:t>
      </w:r>
      <w:proofErr w:type="spellEnd"/>
      <w:r>
        <w:rPr>
          <w:sz w:val="24"/>
          <w:szCs w:val="24"/>
        </w:rPr>
        <w:t xml:space="preserve"> Seminario Hurtado</w:t>
      </w:r>
      <w:hyperlink w:anchor="_1m6kq53ycrbn">
        <w:r>
          <w:rPr>
            <w:sz w:val="24"/>
            <w:szCs w:val="24"/>
            <w:vertAlign w:val="superscript"/>
          </w:rPr>
          <w:t>2*</w:t>
        </w:r>
      </w:hyperlink>
    </w:p>
    <w:p w14:paraId="0E8269BA" w14:textId="77777777" w:rsidR="001F72F2" w:rsidRDefault="001F72F2">
      <w:pPr>
        <w:pBdr>
          <w:top w:val="nil"/>
          <w:left w:val="nil"/>
          <w:bottom w:val="nil"/>
          <w:right w:val="nil"/>
          <w:between w:val="nil"/>
        </w:pBdr>
        <w:spacing w:before="1" w:line="360" w:lineRule="auto"/>
        <w:rPr>
          <w:color w:val="000000"/>
          <w:sz w:val="24"/>
          <w:szCs w:val="24"/>
        </w:rPr>
      </w:pPr>
    </w:p>
    <w:p w14:paraId="0E8269BB" w14:textId="77777777" w:rsidR="001F72F2" w:rsidRDefault="002719B2">
      <w:pPr>
        <w:spacing w:line="360" w:lineRule="auto"/>
        <w:ind w:left="283" w:right="3906"/>
        <w:rPr>
          <w:sz w:val="24"/>
          <w:szCs w:val="24"/>
        </w:rPr>
      </w:pPr>
      <w:r>
        <w:rPr>
          <w:sz w:val="24"/>
          <w:szCs w:val="24"/>
        </w:rPr>
        <w:t>Lima, Perú 2025</w:t>
      </w:r>
    </w:p>
    <w:p w14:paraId="0E8269BC" w14:textId="77777777" w:rsidR="001F72F2" w:rsidRDefault="001F72F2">
      <w:pPr>
        <w:spacing w:line="360" w:lineRule="auto"/>
        <w:ind w:left="283" w:right="3906"/>
        <w:rPr>
          <w:sz w:val="24"/>
          <w:szCs w:val="24"/>
        </w:rPr>
      </w:pPr>
    </w:p>
    <w:p w14:paraId="0E8269BD" w14:textId="77777777" w:rsidR="001F72F2" w:rsidRDefault="001F72F2">
      <w:pPr>
        <w:spacing w:line="360" w:lineRule="auto"/>
        <w:ind w:left="283" w:right="3906"/>
        <w:rPr>
          <w:sz w:val="24"/>
          <w:szCs w:val="24"/>
        </w:rPr>
      </w:pPr>
    </w:p>
    <w:p w14:paraId="0E8269BE" w14:textId="77777777" w:rsidR="001F72F2" w:rsidRDefault="001F72F2">
      <w:pPr>
        <w:spacing w:line="360" w:lineRule="auto"/>
        <w:ind w:left="283" w:right="3906"/>
        <w:rPr>
          <w:sz w:val="24"/>
          <w:szCs w:val="24"/>
        </w:rPr>
      </w:pPr>
    </w:p>
    <w:p w14:paraId="0E8269BF" w14:textId="77777777" w:rsidR="001F72F2" w:rsidRDefault="001F72F2">
      <w:pPr>
        <w:spacing w:line="360" w:lineRule="auto"/>
        <w:ind w:left="283" w:right="3906"/>
        <w:rPr>
          <w:sz w:val="24"/>
          <w:szCs w:val="24"/>
        </w:rPr>
      </w:pPr>
    </w:p>
    <w:p w14:paraId="0E8269C0" w14:textId="77777777" w:rsidR="001F72F2" w:rsidRDefault="001F72F2">
      <w:pPr>
        <w:spacing w:line="360" w:lineRule="auto"/>
        <w:ind w:left="283" w:right="3906"/>
        <w:rPr>
          <w:sz w:val="24"/>
          <w:szCs w:val="24"/>
        </w:rPr>
      </w:pPr>
    </w:p>
    <w:p w14:paraId="0E8269C1" w14:textId="77777777" w:rsidR="001F72F2" w:rsidRDefault="001F72F2">
      <w:pPr>
        <w:spacing w:line="360" w:lineRule="auto"/>
        <w:ind w:left="283" w:right="3906"/>
        <w:rPr>
          <w:sz w:val="24"/>
          <w:szCs w:val="24"/>
        </w:rPr>
      </w:pPr>
    </w:p>
    <w:p w14:paraId="0E8269C2" w14:textId="77777777" w:rsidR="001F72F2" w:rsidRDefault="001F72F2">
      <w:pPr>
        <w:spacing w:line="360" w:lineRule="auto"/>
        <w:ind w:left="283" w:right="3906"/>
        <w:rPr>
          <w:sz w:val="24"/>
          <w:szCs w:val="24"/>
        </w:rPr>
      </w:pPr>
    </w:p>
    <w:p w14:paraId="0E8269C3" w14:textId="77777777" w:rsidR="001F72F2" w:rsidRDefault="001F72F2">
      <w:pPr>
        <w:spacing w:line="360" w:lineRule="auto"/>
        <w:ind w:left="283" w:right="3906"/>
        <w:rPr>
          <w:sz w:val="24"/>
          <w:szCs w:val="24"/>
        </w:rPr>
      </w:pPr>
    </w:p>
    <w:p w14:paraId="0E8269C4" w14:textId="77777777" w:rsidR="001F72F2" w:rsidRDefault="001F72F2">
      <w:pPr>
        <w:spacing w:line="360" w:lineRule="auto"/>
        <w:ind w:left="283" w:right="3906"/>
        <w:rPr>
          <w:sz w:val="24"/>
          <w:szCs w:val="24"/>
        </w:rPr>
      </w:pPr>
    </w:p>
    <w:p w14:paraId="0E8269C5" w14:textId="77777777" w:rsidR="001F72F2" w:rsidRDefault="001F72F2">
      <w:pPr>
        <w:spacing w:line="360" w:lineRule="auto"/>
        <w:ind w:left="283" w:right="3906"/>
        <w:rPr>
          <w:sz w:val="24"/>
          <w:szCs w:val="24"/>
        </w:rPr>
      </w:pPr>
    </w:p>
    <w:p w14:paraId="0E8269C6" w14:textId="77777777" w:rsidR="001F72F2" w:rsidRDefault="001F72F2">
      <w:pPr>
        <w:spacing w:line="360" w:lineRule="auto"/>
        <w:ind w:left="283" w:right="3906"/>
        <w:rPr>
          <w:sz w:val="24"/>
          <w:szCs w:val="24"/>
        </w:rPr>
      </w:pPr>
    </w:p>
    <w:p w14:paraId="0E8269C7" w14:textId="77777777" w:rsidR="001F72F2" w:rsidRDefault="001F72F2">
      <w:pPr>
        <w:spacing w:line="360" w:lineRule="auto"/>
        <w:ind w:left="283" w:right="3906"/>
        <w:rPr>
          <w:sz w:val="24"/>
          <w:szCs w:val="24"/>
        </w:rPr>
      </w:pPr>
    </w:p>
    <w:p w14:paraId="0E8269C8" w14:textId="77777777" w:rsidR="001F72F2" w:rsidRDefault="001F72F2">
      <w:pPr>
        <w:spacing w:line="360" w:lineRule="auto"/>
        <w:ind w:left="283" w:right="3906"/>
        <w:rPr>
          <w:sz w:val="24"/>
          <w:szCs w:val="24"/>
        </w:rPr>
      </w:pPr>
    </w:p>
    <w:p w14:paraId="0E8269C9" w14:textId="77777777" w:rsidR="001F72F2" w:rsidRDefault="001F72F2">
      <w:pPr>
        <w:spacing w:line="360" w:lineRule="auto"/>
        <w:ind w:left="283" w:right="3906"/>
        <w:rPr>
          <w:sz w:val="24"/>
          <w:szCs w:val="24"/>
        </w:rPr>
      </w:pPr>
    </w:p>
    <w:p w14:paraId="0E8269CA" w14:textId="77777777" w:rsidR="001F72F2" w:rsidRDefault="002719B2">
      <w:pPr>
        <w:pBdr>
          <w:top w:val="nil"/>
          <w:left w:val="nil"/>
          <w:bottom w:val="nil"/>
          <w:right w:val="nil"/>
          <w:between w:val="nil"/>
        </w:pBdr>
        <w:spacing w:before="252" w:line="360" w:lineRule="auto"/>
        <w:ind w:left="262" w:right="255"/>
        <w:rPr>
          <w:color w:val="000000"/>
          <w:sz w:val="24"/>
          <w:szCs w:val="24"/>
        </w:rPr>
      </w:pPr>
      <w:r>
        <w:rPr>
          <w:color w:val="000000"/>
          <w:sz w:val="24"/>
          <w:szCs w:val="24"/>
        </w:rPr>
        <w:lastRenderedPageBreak/>
        <w:t xml:space="preserve">Resumen: El presente ensayo analiza el derecho de acceso a la justicia de las personas con sordoceguera en el Perú desde una perspectiva jurídica, ética y tecnológica. Se resalta el papel de la inteligencia artificial como herramienta de inclusión judicial y la necesidad de adoptar ajustes razonables que garanticen el ejercicio del derecho a la tutela jurisdiccional reconocido en el artículo 139, inciso 3, de la Constitución. La investigación, de enfoque cualitativo y diseño documental, revisa la normativa </w:t>
      </w:r>
      <w:r>
        <w:rPr>
          <w:color w:val="000000"/>
          <w:sz w:val="24"/>
          <w:szCs w:val="24"/>
        </w:rPr>
        <w:t>nacional, las Reglas de Brasilia y los estándares internacionales de inclusión. Los resultados muestran que, pese a los avances normativos, persisten barreras materiales y simbólicas que limitan la participación efectiva de las personas sordociegas. Finalmente, se concluye que el uso ético y responsable de la inteligencia artificial puede constituir un medio eficaz para garantizar un acceso real, equitativo y digno a la justicia.</w:t>
      </w:r>
    </w:p>
    <w:p w14:paraId="0E8269CB" w14:textId="77777777" w:rsidR="001F72F2" w:rsidRDefault="001F72F2">
      <w:pPr>
        <w:pBdr>
          <w:top w:val="nil"/>
          <w:left w:val="nil"/>
          <w:bottom w:val="nil"/>
          <w:right w:val="nil"/>
          <w:between w:val="nil"/>
        </w:pBdr>
        <w:spacing w:line="360" w:lineRule="auto"/>
        <w:rPr>
          <w:color w:val="000000"/>
          <w:sz w:val="24"/>
          <w:szCs w:val="24"/>
        </w:rPr>
      </w:pPr>
    </w:p>
    <w:p w14:paraId="0E8269CC" w14:textId="77777777" w:rsidR="001F72F2" w:rsidRDefault="002719B2">
      <w:pPr>
        <w:pBdr>
          <w:top w:val="nil"/>
          <w:left w:val="nil"/>
          <w:bottom w:val="nil"/>
          <w:right w:val="nil"/>
          <w:between w:val="nil"/>
        </w:pBdr>
        <w:spacing w:line="360" w:lineRule="auto"/>
        <w:ind w:left="262" w:right="254"/>
        <w:rPr>
          <w:color w:val="000000"/>
          <w:sz w:val="24"/>
          <w:szCs w:val="24"/>
        </w:rPr>
      </w:pPr>
      <w:r>
        <w:rPr>
          <w:color w:val="000000"/>
          <w:sz w:val="24"/>
          <w:szCs w:val="24"/>
        </w:rPr>
        <w:t>Palabras Clave: Sordoceguera, acceso a la justicia, inteligencia artificial</w:t>
      </w:r>
      <w:r>
        <w:rPr>
          <w:rFonts w:ascii="Calibri" w:eastAsia="Calibri" w:hAnsi="Calibri" w:cs="Calibri"/>
          <w:color w:val="000000"/>
          <w:sz w:val="24"/>
          <w:szCs w:val="24"/>
        </w:rPr>
        <w:t xml:space="preserve">, </w:t>
      </w:r>
      <w:r>
        <w:rPr>
          <w:color w:val="000000"/>
          <w:sz w:val="24"/>
          <w:szCs w:val="24"/>
        </w:rPr>
        <w:t>justicia inclusiva, tutela jurisdiccional efectiva.</w:t>
      </w:r>
    </w:p>
    <w:p w14:paraId="0E8269CD" w14:textId="77777777" w:rsidR="001F72F2" w:rsidRDefault="001F72F2">
      <w:pPr>
        <w:pBdr>
          <w:top w:val="nil"/>
          <w:left w:val="nil"/>
          <w:bottom w:val="nil"/>
          <w:right w:val="nil"/>
          <w:between w:val="nil"/>
        </w:pBdr>
        <w:spacing w:before="2" w:line="360" w:lineRule="auto"/>
        <w:rPr>
          <w:color w:val="000000"/>
          <w:sz w:val="24"/>
          <w:szCs w:val="24"/>
        </w:rPr>
      </w:pPr>
    </w:p>
    <w:p w14:paraId="0E8269CE" w14:textId="77777777" w:rsidR="001F72F2" w:rsidRDefault="002719B2">
      <w:pPr>
        <w:pBdr>
          <w:top w:val="nil"/>
          <w:left w:val="nil"/>
          <w:bottom w:val="nil"/>
          <w:right w:val="nil"/>
          <w:between w:val="nil"/>
        </w:pBdr>
        <w:spacing w:line="360" w:lineRule="auto"/>
        <w:ind w:left="262" w:right="254"/>
        <w:rPr>
          <w:color w:val="000000"/>
          <w:sz w:val="24"/>
          <w:szCs w:val="24"/>
        </w:rPr>
      </w:pPr>
      <w:proofErr w:type="spellStart"/>
      <w:r>
        <w:rPr>
          <w:color w:val="000000"/>
          <w:sz w:val="24"/>
          <w:szCs w:val="24"/>
        </w:rPr>
        <w:t>Abstract</w:t>
      </w:r>
      <w:proofErr w:type="spellEnd"/>
      <w:r>
        <w:rPr>
          <w:color w:val="000000"/>
          <w:sz w:val="24"/>
          <w:szCs w:val="24"/>
        </w:rPr>
        <w:t xml:space="preserve">: </w:t>
      </w:r>
      <w:proofErr w:type="spellStart"/>
      <w:r>
        <w:rPr>
          <w:color w:val="000000"/>
          <w:sz w:val="24"/>
          <w:szCs w:val="24"/>
        </w:rPr>
        <w:t>This</w:t>
      </w:r>
      <w:proofErr w:type="spellEnd"/>
      <w:r>
        <w:rPr>
          <w:color w:val="000000"/>
          <w:sz w:val="24"/>
          <w:szCs w:val="24"/>
        </w:rPr>
        <w:t xml:space="preserve"> </w:t>
      </w:r>
      <w:proofErr w:type="spellStart"/>
      <w:r>
        <w:rPr>
          <w:color w:val="000000"/>
          <w:sz w:val="24"/>
          <w:szCs w:val="24"/>
        </w:rPr>
        <w:t>essay</w:t>
      </w:r>
      <w:proofErr w:type="spellEnd"/>
      <w:r>
        <w:rPr>
          <w:color w:val="000000"/>
          <w:sz w:val="24"/>
          <w:szCs w:val="24"/>
        </w:rPr>
        <w:t xml:space="preserve"> </w:t>
      </w:r>
      <w:proofErr w:type="spellStart"/>
      <w:r>
        <w:rPr>
          <w:color w:val="000000"/>
          <w:sz w:val="24"/>
          <w:szCs w:val="24"/>
        </w:rPr>
        <w:t>analyzes</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right</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access</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justice</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people</w:t>
      </w:r>
      <w:proofErr w:type="spellEnd"/>
      <w:r>
        <w:rPr>
          <w:color w:val="000000"/>
          <w:sz w:val="24"/>
          <w:szCs w:val="24"/>
        </w:rPr>
        <w:t xml:space="preserve"> </w:t>
      </w:r>
      <w:proofErr w:type="spellStart"/>
      <w:r>
        <w:rPr>
          <w:color w:val="000000"/>
          <w:sz w:val="24"/>
          <w:szCs w:val="24"/>
        </w:rPr>
        <w:t>with</w:t>
      </w:r>
      <w:proofErr w:type="spellEnd"/>
      <w:r>
        <w:rPr>
          <w:color w:val="000000"/>
          <w:sz w:val="24"/>
          <w:szCs w:val="24"/>
        </w:rPr>
        <w:t xml:space="preserve"> deafblindness in Peru </w:t>
      </w:r>
      <w:proofErr w:type="spellStart"/>
      <w:r>
        <w:rPr>
          <w:color w:val="000000"/>
          <w:sz w:val="24"/>
          <w:szCs w:val="24"/>
        </w:rPr>
        <w:t>from</w:t>
      </w:r>
      <w:proofErr w:type="spellEnd"/>
      <w:r>
        <w:rPr>
          <w:color w:val="000000"/>
          <w:sz w:val="24"/>
          <w:szCs w:val="24"/>
        </w:rPr>
        <w:t xml:space="preserve"> a legal, </w:t>
      </w:r>
      <w:proofErr w:type="spellStart"/>
      <w:r>
        <w:rPr>
          <w:color w:val="000000"/>
          <w:sz w:val="24"/>
          <w:szCs w:val="24"/>
        </w:rPr>
        <w:t>ethical</w:t>
      </w:r>
      <w:proofErr w:type="spellEnd"/>
      <w:r>
        <w:rPr>
          <w:color w:val="000000"/>
          <w:sz w:val="24"/>
          <w:szCs w:val="24"/>
        </w:rPr>
        <w:t xml:space="preserve">, and </w:t>
      </w:r>
      <w:proofErr w:type="spellStart"/>
      <w:r>
        <w:rPr>
          <w:color w:val="000000"/>
          <w:sz w:val="24"/>
          <w:szCs w:val="24"/>
        </w:rPr>
        <w:t>technological</w:t>
      </w:r>
      <w:proofErr w:type="spellEnd"/>
      <w:r>
        <w:rPr>
          <w:color w:val="000000"/>
          <w:sz w:val="24"/>
          <w:szCs w:val="24"/>
        </w:rPr>
        <w:t xml:space="preserve"> </w:t>
      </w:r>
      <w:proofErr w:type="spellStart"/>
      <w:r>
        <w:rPr>
          <w:color w:val="000000"/>
          <w:sz w:val="24"/>
          <w:szCs w:val="24"/>
        </w:rPr>
        <w:t>perspective</w:t>
      </w:r>
      <w:proofErr w:type="spellEnd"/>
      <w:r>
        <w:rPr>
          <w:color w:val="000000"/>
          <w:sz w:val="24"/>
          <w:szCs w:val="24"/>
        </w:rPr>
        <w:t xml:space="preserve">. </w:t>
      </w:r>
      <w:proofErr w:type="spellStart"/>
      <w:r>
        <w:rPr>
          <w:color w:val="000000"/>
          <w:sz w:val="24"/>
          <w:szCs w:val="24"/>
        </w:rPr>
        <w:t>It</w:t>
      </w:r>
      <w:proofErr w:type="spellEnd"/>
      <w:r>
        <w:rPr>
          <w:color w:val="000000"/>
          <w:sz w:val="24"/>
          <w:szCs w:val="24"/>
        </w:rPr>
        <w:t xml:space="preserve"> </w:t>
      </w:r>
      <w:proofErr w:type="spellStart"/>
      <w:r>
        <w:rPr>
          <w:color w:val="000000"/>
          <w:sz w:val="24"/>
          <w:szCs w:val="24"/>
        </w:rPr>
        <w:t>highlights</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role </w:t>
      </w:r>
      <w:proofErr w:type="spellStart"/>
      <w:r>
        <w:rPr>
          <w:color w:val="000000"/>
          <w:sz w:val="24"/>
          <w:szCs w:val="24"/>
        </w:rPr>
        <w:t>of</w:t>
      </w:r>
      <w:proofErr w:type="spellEnd"/>
      <w:r>
        <w:rPr>
          <w:color w:val="000000"/>
          <w:sz w:val="24"/>
          <w:szCs w:val="24"/>
        </w:rPr>
        <w:t xml:space="preserve"> artificial </w:t>
      </w:r>
      <w:proofErr w:type="spellStart"/>
      <w:r>
        <w:rPr>
          <w:color w:val="000000"/>
          <w:sz w:val="24"/>
          <w:szCs w:val="24"/>
        </w:rPr>
        <w:t>intelligence</w:t>
      </w:r>
      <w:proofErr w:type="spellEnd"/>
      <w:r>
        <w:rPr>
          <w:color w:val="000000"/>
          <w:sz w:val="24"/>
          <w:szCs w:val="24"/>
        </w:rPr>
        <w:t xml:space="preserve"> as a </w:t>
      </w:r>
      <w:proofErr w:type="spellStart"/>
      <w:r>
        <w:rPr>
          <w:color w:val="000000"/>
          <w:sz w:val="24"/>
          <w:szCs w:val="24"/>
        </w:rPr>
        <w:t>tool</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judicial </w:t>
      </w:r>
      <w:proofErr w:type="spellStart"/>
      <w:r>
        <w:rPr>
          <w:color w:val="000000"/>
          <w:sz w:val="24"/>
          <w:szCs w:val="24"/>
        </w:rPr>
        <w:t>inclusion</w:t>
      </w:r>
      <w:proofErr w:type="spellEnd"/>
      <w:r>
        <w:rPr>
          <w:color w:val="000000"/>
          <w:sz w:val="24"/>
          <w:szCs w:val="24"/>
        </w:rPr>
        <w:t xml:space="preserve"> and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need</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adopt</w:t>
      </w:r>
      <w:proofErr w:type="spellEnd"/>
      <w:r>
        <w:rPr>
          <w:color w:val="000000"/>
          <w:sz w:val="24"/>
          <w:szCs w:val="24"/>
        </w:rPr>
        <w:t xml:space="preserve"> </w:t>
      </w:r>
      <w:proofErr w:type="spellStart"/>
      <w:r>
        <w:rPr>
          <w:color w:val="000000"/>
          <w:sz w:val="24"/>
          <w:szCs w:val="24"/>
        </w:rPr>
        <w:t>reasonable</w:t>
      </w:r>
      <w:proofErr w:type="spellEnd"/>
      <w:r>
        <w:rPr>
          <w:color w:val="000000"/>
          <w:sz w:val="24"/>
          <w:szCs w:val="24"/>
        </w:rPr>
        <w:t xml:space="preserve"> </w:t>
      </w:r>
      <w:proofErr w:type="spellStart"/>
      <w:r>
        <w:rPr>
          <w:color w:val="000000"/>
          <w:sz w:val="24"/>
          <w:szCs w:val="24"/>
        </w:rPr>
        <w:t>accommodations</w:t>
      </w:r>
      <w:proofErr w:type="spellEnd"/>
      <w:r>
        <w:rPr>
          <w:color w:val="000000"/>
          <w:sz w:val="24"/>
          <w:szCs w:val="24"/>
        </w:rPr>
        <w:t xml:space="preserve"> </w:t>
      </w:r>
      <w:proofErr w:type="spellStart"/>
      <w:r>
        <w:rPr>
          <w:color w:val="000000"/>
          <w:sz w:val="24"/>
          <w:szCs w:val="24"/>
        </w:rPr>
        <w:t>that</w:t>
      </w:r>
      <w:proofErr w:type="spellEnd"/>
      <w:r>
        <w:rPr>
          <w:color w:val="000000"/>
          <w:sz w:val="24"/>
          <w:szCs w:val="24"/>
        </w:rPr>
        <w:t xml:space="preserve"> </w:t>
      </w:r>
      <w:proofErr w:type="spellStart"/>
      <w:r>
        <w:rPr>
          <w:color w:val="000000"/>
          <w:sz w:val="24"/>
          <w:szCs w:val="24"/>
        </w:rPr>
        <w:t>ensure</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exercise</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right</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judicial </w:t>
      </w:r>
      <w:proofErr w:type="spellStart"/>
      <w:r>
        <w:rPr>
          <w:color w:val="000000"/>
          <w:sz w:val="24"/>
          <w:szCs w:val="24"/>
        </w:rPr>
        <w:t>protection</w:t>
      </w:r>
      <w:proofErr w:type="spellEnd"/>
      <w:r>
        <w:rPr>
          <w:color w:val="000000"/>
          <w:sz w:val="24"/>
          <w:szCs w:val="24"/>
        </w:rPr>
        <w:t xml:space="preserve"> </w:t>
      </w:r>
      <w:proofErr w:type="spellStart"/>
      <w:r>
        <w:rPr>
          <w:color w:val="000000"/>
          <w:sz w:val="24"/>
          <w:szCs w:val="24"/>
        </w:rPr>
        <w:t>recognized</w:t>
      </w:r>
      <w:proofErr w:type="spellEnd"/>
      <w:r>
        <w:rPr>
          <w:color w:val="000000"/>
          <w:sz w:val="24"/>
          <w:szCs w:val="24"/>
        </w:rPr>
        <w:t xml:space="preserve"> in </w:t>
      </w:r>
      <w:proofErr w:type="spellStart"/>
      <w:r>
        <w:rPr>
          <w:color w:val="000000"/>
          <w:sz w:val="24"/>
          <w:szCs w:val="24"/>
        </w:rPr>
        <w:t>Article</w:t>
      </w:r>
      <w:proofErr w:type="spellEnd"/>
      <w:r>
        <w:rPr>
          <w:color w:val="000000"/>
          <w:sz w:val="24"/>
          <w:szCs w:val="24"/>
        </w:rPr>
        <w:t xml:space="preserve"> 139, </w:t>
      </w:r>
      <w:proofErr w:type="spellStart"/>
      <w:r>
        <w:rPr>
          <w:color w:val="000000"/>
          <w:sz w:val="24"/>
          <w:szCs w:val="24"/>
        </w:rPr>
        <w:t>paragraph</w:t>
      </w:r>
      <w:proofErr w:type="spellEnd"/>
      <w:r>
        <w:rPr>
          <w:color w:val="000000"/>
          <w:sz w:val="24"/>
          <w:szCs w:val="24"/>
        </w:rPr>
        <w:t xml:space="preserve"> 3,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Constitution</w:t>
      </w:r>
      <w:proofErr w:type="spellEnd"/>
      <w:r>
        <w:rPr>
          <w:color w:val="000000"/>
          <w:sz w:val="24"/>
          <w:szCs w:val="24"/>
        </w:rPr>
        <w:t xml:space="preserve">. The </w:t>
      </w:r>
      <w:proofErr w:type="spellStart"/>
      <w:r>
        <w:rPr>
          <w:color w:val="000000"/>
          <w:sz w:val="24"/>
          <w:szCs w:val="24"/>
        </w:rPr>
        <w:t>research</w:t>
      </w:r>
      <w:proofErr w:type="spellEnd"/>
      <w:r>
        <w:rPr>
          <w:color w:val="000000"/>
          <w:sz w:val="24"/>
          <w:szCs w:val="24"/>
        </w:rPr>
        <w:t xml:space="preserve">, </w:t>
      </w:r>
      <w:proofErr w:type="spellStart"/>
      <w:r>
        <w:rPr>
          <w:color w:val="000000"/>
          <w:sz w:val="24"/>
          <w:szCs w:val="24"/>
        </w:rPr>
        <w:t>with</w:t>
      </w:r>
      <w:proofErr w:type="spellEnd"/>
      <w:r>
        <w:rPr>
          <w:color w:val="000000"/>
          <w:sz w:val="24"/>
          <w:szCs w:val="24"/>
        </w:rPr>
        <w:t xml:space="preserve"> a </w:t>
      </w:r>
      <w:proofErr w:type="spellStart"/>
      <w:r>
        <w:rPr>
          <w:color w:val="000000"/>
          <w:sz w:val="24"/>
          <w:szCs w:val="24"/>
        </w:rPr>
        <w:t>qualitative</w:t>
      </w:r>
      <w:proofErr w:type="spellEnd"/>
      <w:r>
        <w:rPr>
          <w:color w:val="000000"/>
          <w:sz w:val="24"/>
          <w:szCs w:val="24"/>
        </w:rPr>
        <w:t xml:space="preserve"> </w:t>
      </w:r>
      <w:proofErr w:type="spellStart"/>
      <w:r>
        <w:rPr>
          <w:color w:val="000000"/>
          <w:sz w:val="24"/>
          <w:szCs w:val="24"/>
        </w:rPr>
        <w:t>approach</w:t>
      </w:r>
      <w:proofErr w:type="spellEnd"/>
      <w:r>
        <w:rPr>
          <w:color w:val="000000"/>
          <w:sz w:val="24"/>
          <w:szCs w:val="24"/>
        </w:rPr>
        <w:t xml:space="preserve"> and </w:t>
      </w:r>
      <w:proofErr w:type="spellStart"/>
      <w:r>
        <w:rPr>
          <w:color w:val="000000"/>
          <w:sz w:val="24"/>
          <w:szCs w:val="24"/>
        </w:rPr>
        <w:t>documentary</w:t>
      </w:r>
      <w:proofErr w:type="spellEnd"/>
      <w:r>
        <w:rPr>
          <w:color w:val="000000"/>
          <w:sz w:val="24"/>
          <w:szCs w:val="24"/>
        </w:rPr>
        <w:t xml:space="preserve"> </w:t>
      </w:r>
      <w:proofErr w:type="spellStart"/>
      <w:r>
        <w:rPr>
          <w:color w:val="000000"/>
          <w:sz w:val="24"/>
          <w:szCs w:val="24"/>
        </w:rPr>
        <w:t>design</w:t>
      </w:r>
      <w:proofErr w:type="spellEnd"/>
      <w:r>
        <w:rPr>
          <w:color w:val="000000"/>
          <w:sz w:val="24"/>
          <w:szCs w:val="24"/>
        </w:rPr>
        <w:t xml:space="preserve">, </w:t>
      </w:r>
      <w:proofErr w:type="spellStart"/>
      <w:r>
        <w:rPr>
          <w:color w:val="000000"/>
          <w:sz w:val="24"/>
          <w:szCs w:val="24"/>
        </w:rPr>
        <w:t>reviews</w:t>
      </w:r>
      <w:proofErr w:type="spellEnd"/>
      <w:r>
        <w:rPr>
          <w:color w:val="000000"/>
          <w:sz w:val="24"/>
          <w:szCs w:val="24"/>
        </w:rPr>
        <w:t xml:space="preserve"> </w:t>
      </w:r>
      <w:proofErr w:type="spellStart"/>
      <w:r>
        <w:rPr>
          <w:color w:val="000000"/>
          <w:sz w:val="24"/>
          <w:szCs w:val="24"/>
        </w:rPr>
        <w:t>national</w:t>
      </w:r>
      <w:proofErr w:type="spellEnd"/>
      <w:r>
        <w:rPr>
          <w:color w:val="000000"/>
          <w:sz w:val="24"/>
          <w:szCs w:val="24"/>
        </w:rPr>
        <w:t xml:space="preserve"> </w:t>
      </w:r>
      <w:proofErr w:type="spellStart"/>
      <w:r>
        <w:rPr>
          <w:color w:val="000000"/>
          <w:sz w:val="24"/>
          <w:szCs w:val="24"/>
        </w:rPr>
        <w:t>regulations</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Brasilia Rules</w:t>
      </w:r>
      <w:r>
        <w:rPr>
          <w:color w:val="000000"/>
          <w:sz w:val="24"/>
          <w:szCs w:val="24"/>
        </w:rPr>
        <w:t xml:space="preserve">, and </w:t>
      </w:r>
      <w:proofErr w:type="spellStart"/>
      <w:r>
        <w:rPr>
          <w:color w:val="000000"/>
          <w:sz w:val="24"/>
          <w:szCs w:val="24"/>
        </w:rPr>
        <w:t>international</w:t>
      </w:r>
      <w:proofErr w:type="spellEnd"/>
      <w:r>
        <w:rPr>
          <w:color w:val="000000"/>
          <w:sz w:val="24"/>
          <w:szCs w:val="24"/>
        </w:rPr>
        <w:t xml:space="preserve"> </w:t>
      </w:r>
      <w:proofErr w:type="spellStart"/>
      <w:r>
        <w:rPr>
          <w:color w:val="000000"/>
          <w:sz w:val="24"/>
          <w:szCs w:val="24"/>
        </w:rPr>
        <w:t>standards</w:t>
      </w:r>
      <w:proofErr w:type="spellEnd"/>
      <w:r>
        <w:rPr>
          <w:color w:val="000000"/>
          <w:sz w:val="24"/>
          <w:szCs w:val="24"/>
        </w:rPr>
        <w:t xml:space="preserve"> </w:t>
      </w:r>
      <w:proofErr w:type="spellStart"/>
      <w:r>
        <w:rPr>
          <w:color w:val="000000"/>
          <w:sz w:val="24"/>
          <w:szCs w:val="24"/>
        </w:rPr>
        <w:t>on</w:t>
      </w:r>
      <w:proofErr w:type="spellEnd"/>
      <w:r>
        <w:rPr>
          <w:color w:val="000000"/>
          <w:sz w:val="24"/>
          <w:szCs w:val="24"/>
        </w:rPr>
        <w:t xml:space="preserve"> </w:t>
      </w:r>
      <w:proofErr w:type="spellStart"/>
      <w:r>
        <w:rPr>
          <w:color w:val="000000"/>
          <w:sz w:val="24"/>
          <w:szCs w:val="24"/>
        </w:rPr>
        <w:t>inclusion</w:t>
      </w:r>
      <w:proofErr w:type="spellEnd"/>
      <w:r>
        <w:rPr>
          <w:color w:val="000000"/>
          <w:sz w:val="24"/>
          <w:szCs w:val="24"/>
        </w:rPr>
        <w:t xml:space="preserve">. The </w:t>
      </w:r>
      <w:proofErr w:type="spellStart"/>
      <w:r>
        <w:rPr>
          <w:color w:val="000000"/>
          <w:sz w:val="24"/>
          <w:szCs w:val="24"/>
        </w:rPr>
        <w:t>results</w:t>
      </w:r>
      <w:proofErr w:type="spellEnd"/>
      <w:r>
        <w:rPr>
          <w:color w:val="000000"/>
          <w:sz w:val="24"/>
          <w:szCs w:val="24"/>
        </w:rPr>
        <w:t xml:space="preserve"> </w:t>
      </w:r>
      <w:proofErr w:type="gramStart"/>
      <w:r>
        <w:rPr>
          <w:color w:val="000000"/>
          <w:sz w:val="24"/>
          <w:szCs w:val="24"/>
        </w:rPr>
        <w:t>show</w:t>
      </w:r>
      <w:proofErr w:type="gramEnd"/>
      <w:r>
        <w:rPr>
          <w:color w:val="000000"/>
          <w:sz w:val="24"/>
          <w:szCs w:val="24"/>
        </w:rPr>
        <w:t xml:space="preserve"> </w:t>
      </w:r>
      <w:proofErr w:type="spellStart"/>
      <w:r>
        <w:rPr>
          <w:color w:val="000000"/>
          <w:sz w:val="24"/>
          <w:szCs w:val="24"/>
        </w:rPr>
        <w:t>that</w:t>
      </w:r>
      <w:proofErr w:type="spellEnd"/>
      <w:r>
        <w:rPr>
          <w:color w:val="000000"/>
          <w:sz w:val="24"/>
          <w:szCs w:val="24"/>
        </w:rPr>
        <w:t xml:space="preserve">, </w:t>
      </w:r>
      <w:proofErr w:type="spellStart"/>
      <w:r>
        <w:rPr>
          <w:color w:val="000000"/>
          <w:sz w:val="24"/>
          <w:szCs w:val="24"/>
        </w:rPr>
        <w:t>despite</w:t>
      </w:r>
      <w:proofErr w:type="spellEnd"/>
      <w:r>
        <w:rPr>
          <w:color w:val="000000"/>
          <w:sz w:val="24"/>
          <w:szCs w:val="24"/>
        </w:rPr>
        <w:t xml:space="preserve"> normative </w:t>
      </w:r>
      <w:proofErr w:type="spellStart"/>
      <w:r>
        <w:rPr>
          <w:color w:val="000000"/>
          <w:sz w:val="24"/>
          <w:szCs w:val="24"/>
        </w:rPr>
        <w:t>progress</w:t>
      </w:r>
      <w:proofErr w:type="spellEnd"/>
      <w:r>
        <w:rPr>
          <w:color w:val="000000"/>
          <w:sz w:val="24"/>
          <w:szCs w:val="24"/>
        </w:rPr>
        <w:t xml:space="preserve">, material and </w:t>
      </w:r>
      <w:proofErr w:type="spellStart"/>
      <w:r>
        <w:rPr>
          <w:color w:val="000000"/>
          <w:sz w:val="24"/>
          <w:szCs w:val="24"/>
        </w:rPr>
        <w:t>symbolic</w:t>
      </w:r>
      <w:proofErr w:type="spellEnd"/>
      <w:r>
        <w:rPr>
          <w:color w:val="000000"/>
          <w:sz w:val="24"/>
          <w:szCs w:val="24"/>
        </w:rPr>
        <w:t xml:space="preserve"> </w:t>
      </w:r>
      <w:proofErr w:type="spellStart"/>
      <w:r>
        <w:rPr>
          <w:color w:val="000000"/>
          <w:sz w:val="24"/>
          <w:szCs w:val="24"/>
        </w:rPr>
        <w:t>barriers</w:t>
      </w:r>
      <w:proofErr w:type="spellEnd"/>
      <w:r>
        <w:rPr>
          <w:color w:val="000000"/>
          <w:sz w:val="24"/>
          <w:szCs w:val="24"/>
        </w:rPr>
        <w:t xml:space="preserve"> </w:t>
      </w:r>
      <w:proofErr w:type="spellStart"/>
      <w:r>
        <w:rPr>
          <w:color w:val="000000"/>
          <w:sz w:val="24"/>
          <w:szCs w:val="24"/>
        </w:rPr>
        <w:t>still</w:t>
      </w:r>
      <w:proofErr w:type="spellEnd"/>
      <w:r>
        <w:rPr>
          <w:color w:val="000000"/>
          <w:sz w:val="24"/>
          <w:szCs w:val="24"/>
        </w:rPr>
        <w:t xml:space="preserve"> </w:t>
      </w:r>
      <w:proofErr w:type="spellStart"/>
      <w:r>
        <w:rPr>
          <w:color w:val="000000"/>
          <w:sz w:val="24"/>
          <w:szCs w:val="24"/>
        </w:rPr>
        <w:t>limit</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effective</w:t>
      </w:r>
      <w:proofErr w:type="spellEnd"/>
      <w:r>
        <w:rPr>
          <w:color w:val="000000"/>
          <w:sz w:val="24"/>
          <w:szCs w:val="24"/>
        </w:rPr>
        <w:t xml:space="preserve"> </w:t>
      </w:r>
      <w:proofErr w:type="spellStart"/>
      <w:r>
        <w:rPr>
          <w:color w:val="000000"/>
          <w:sz w:val="24"/>
          <w:szCs w:val="24"/>
        </w:rPr>
        <w:t>participation</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people</w:t>
      </w:r>
      <w:proofErr w:type="spellEnd"/>
      <w:r>
        <w:rPr>
          <w:color w:val="000000"/>
          <w:sz w:val="24"/>
          <w:szCs w:val="24"/>
        </w:rPr>
        <w:t xml:space="preserve"> </w:t>
      </w:r>
      <w:proofErr w:type="spellStart"/>
      <w:r>
        <w:rPr>
          <w:color w:val="000000"/>
          <w:sz w:val="24"/>
          <w:szCs w:val="24"/>
        </w:rPr>
        <w:t>with</w:t>
      </w:r>
      <w:proofErr w:type="spellEnd"/>
      <w:r>
        <w:rPr>
          <w:color w:val="000000"/>
          <w:sz w:val="24"/>
          <w:szCs w:val="24"/>
        </w:rPr>
        <w:t xml:space="preserve"> deafblindness. </w:t>
      </w:r>
      <w:proofErr w:type="spellStart"/>
      <w:r>
        <w:rPr>
          <w:color w:val="000000"/>
          <w:sz w:val="24"/>
          <w:szCs w:val="24"/>
        </w:rPr>
        <w:t>Finally</w:t>
      </w:r>
      <w:proofErr w:type="spellEnd"/>
      <w:r>
        <w:rPr>
          <w:color w:val="000000"/>
          <w:sz w:val="24"/>
          <w:szCs w:val="24"/>
        </w:rPr>
        <w:t xml:space="preserve">, </w:t>
      </w:r>
      <w:proofErr w:type="spellStart"/>
      <w:r>
        <w:rPr>
          <w:color w:val="000000"/>
          <w:sz w:val="24"/>
          <w:szCs w:val="24"/>
        </w:rPr>
        <w:t>it</w:t>
      </w:r>
      <w:proofErr w:type="spellEnd"/>
      <w:r>
        <w:rPr>
          <w:color w:val="000000"/>
          <w:sz w:val="24"/>
          <w:szCs w:val="24"/>
        </w:rPr>
        <w:t xml:space="preserve"> </w:t>
      </w:r>
      <w:proofErr w:type="spellStart"/>
      <w:r>
        <w:rPr>
          <w:color w:val="000000"/>
          <w:sz w:val="24"/>
          <w:szCs w:val="24"/>
        </w:rPr>
        <w:t>is</w:t>
      </w:r>
      <w:proofErr w:type="spellEnd"/>
      <w:r>
        <w:rPr>
          <w:color w:val="000000"/>
          <w:sz w:val="24"/>
          <w:szCs w:val="24"/>
        </w:rPr>
        <w:t xml:space="preserve"> </w:t>
      </w:r>
      <w:proofErr w:type="spellStart"/>
      <w:r>
        <w:rPr>
          <w:color w:val="000000"/>
          <w:sz w:val="24"/>
          <w:szCs w:val="24"/>
        </w:rPr>
        <w:t>concluded</w:t>
      </w:r>
      <w:proofErr w:type="spellEnd"/>
      <w:r>
        <w:rPr>
          <w:color w:val="000000"/>
          <w:sz w:val="24"/>
          <w:szCs w:val="24"/>
        </w:rPr>
        <w:t xml:space="preserve"> </w:t>
      </w:r>
      <w:proofErr w:type="spellStart"/>
      <w:r>
        <w:rPr>
          <w:color w:val="000000"/>
          <w:sz w:val="24"/>
          <w:szCs w:val="24"/>
        </w:rPr>
        <w:t>that</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ethical</w:t>
      </w:r>
      <w:proofErr w:type="spellEnd"/>
      <w:r>
        <w:rPr>
          <w:color w:val="000000"/>
          <w:sz w:val="24"/>
          <w:szCs w:val="24"/>
        </w:rPr>
        <w:t xml:space="preserve"> and </w:t>
      </w:r>
      <w:proofErr w:type="spellStart"/>
      <w:r>
        <w:rPr>
          <w:color w:val="000000"/>
          <w:sz w:val="24"/>
          <w:szCs w:val="24"/>
        </w:rPr>
        <w:t>responsible</w:t>
      </w:r>
      <w:proofErr w:type="spellEnd"/>
      <w:r>
        <w:rPr>
          <w:color w:val="000000"/>
          <w:sz w:val="24"/>
          <w:szCs w:val="24"/>
        </w:rPr>
        <w:t xml:space="preserve"> use </w:t>
      </w:r>
      <w:proofErr w:type="spellStart"/>
      <w:r>
        <w:rPr>
          <w:color w:val="000000"/>
          <w:sz w:val="24"/>
          <w:szCs w:val="24"/>
        </w:rPr>
        <w:t>of</w:t>
      </w:r>
      <w:proofErr w:type="spellEnd"/>
      <w:r>
        <w:rPr>
          <w:color w:val="000000"/>
          <w:sz w:val="24"/>
          <w:szCs w:val="24"/>
        </w:rPr>
        <w:t xml:space="preserve"> artificial </w:t>
      </w:r>
      <w:proofErr w:type="spellStart"/>
      <w:r>
        <w:rPr>
          <w:color w:val="000000"/>
          <w:sz w:val="24"/>
          <w:szCs w:val="24"/>
        </w:rPr>
        <w:t>intelligence</w:t>
      </w:r>
      <w:proofErr w:type="spellEnd"/>
      <w:r>
        <w:rPr>
          <w:color w:val="000000"/>
          <w:sz w:val="24"/>
          <w:szCs w:val="24"/>
        </w:rPr>
        <w:t xml:space="preserve"> can serve as </w:t>
      </w:r>
      <w:proofErr w:type="spellStart"/>
      <w:r>
        <w:rPr>
          <w:color w:val="000000"/>
          <w:sz w:val="24"/>
          <w:szCs w:val="24"/>
        </w:rPr>
        <w:t>an</w:t>
      </w:r>
      <w:proofErr w:type="spellEnd"/>
      <w:r>
        <w:rPr>
          <w:color w:val="000000"/>
          <w:sz w:val="24"/>
          <w:szCs w:val="24"/>
        </w:rPr>
        <w:t xml:space="preserve"> </w:t>
      </w:r>
      <w:proofErr w:type="spellStart"/>
      <w:r>
        <w:rPr>
          <w:color w:val="000000"/>
          <w:sz w:val="24"/>
          <w:szCs w:val="24"/>
        </w:rPr>
        <w:t>effective</w:t>
      </w:r>
      <w:proofErr w:type="spellEnd"/>
      <w:r>
        <w:rPr>
          <w:color w:val="000000"/>
          <w:sz w:val="24"/>
          <w:szCs w:val="24"/>
        </w:rPr>
        <w:t xml:space="preserve"> </w:t>
      </w:r>
      <w:proofErr w:type="spellStart"/>
      <w:r>
        <w:rPr>
          <w:color w:val="000000"/>
          <w:sz w:val="24"/>
          <w:szCs w:val="24"/>
        </w:rPr>
        <w:t>means</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guarantee</w:t>
      </w:r>
      <w:proofErr w:type="spellEnd"/>
      <w:r>
        <w:rPr>
          <w:color w:val="000000"/>
          <w:sz w:val="24"/>
          <w:szCs w:val="24"/>
        </w:rPr>
        <w:t xml:space="preserve"> real, </w:t>
      </w:r>
      <w:proofErr w:type="spellStart"/>
      <w:r>
        <w:rPr>
          <w:color w:val="000000"/>
          <w:sz w:val="24"/>
          <w:szCs w:val="24"/>
        </w:rPr>
        <w:t>equitable</w:t>
      </w:r>
      <w:proofErr w:type="spellEnd"/>
      <w:r>
        <w:rPr>
          <w:color w:val="000000"/>
          <w:sz w:val="24"/>
          <w:szCs w:val="24"/>
        </w:rPr>
        <w:t xml:space="preserve">, and </w:t>
      </w:r>
      <w:proofErr w:type="spellStart"/>
      <w:r>
        <w:rPr>
          <w:color w:val="000000"/>
          <w:sz w:val="24"/>
          <w:szCs w:val="24"/>
        </w:rPr>
        <w:t>dignified</w:t>
      </w:r>
      <w:proofErr w:type="spellEnd"/>
      <w:r>
        <w:rPr>
          <w:color w:val="000000"/>
          <w:sz w:val="24"/>
          <w:szCs w:val="24"/>
        </w:rPr>
        <w:t xml:space="preserve"> </w:t>
      </w:r>
      <w:proofErr w:type="spellStart"/>
      <w:r>
        <w:rPr>
          <w:color w:val="000000"/>
          <w:sz w:val="24"/>
          <w:szCs w:val="24"/>
        </w:rPr>
        <w:t>access</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justice</w:t>
      </w:r>
      <w:proofErr w:type="spellEnd"/>
      <w:r>
        <w:rPr>
          <w:color w:val="000000"/>
          <w:sz w:val="24"/>
          <w:szCs w:val="24"/>
        </w:rPr>
        <w:t>.</w:t>
      </w:r>
    </w:p>
    <w:p w14:paraId="0E8269CF" w14:textId="77777777" w:rsidR="001F72F2" w:rsidRDefault="002719B2">
      <w:pPr>
        <w:pBdr>
          <w:top w:val="nil"/>
          <w:left w:val="nil"/>
          <w:bottom w:val="nil"/>
          <w:right w:val="nil"/>
          <w:between w:val="nil"/>
        </w:pBdr>
        <w:spacing w:before="252" w:line="360" w:lineRule="auto"/>
        <w:ind w:left="262" w:right="260"/>
        <w:rPr>
          <w:color w:val="000000"/>
          <w:sz w:val="24"/>
          <w:szCs w:val="24"/>
        </w:rPr>
      </w:pPr>
      <w:proofErr w:type="spellStart"/>
      <w:r>
        <w:rPr>
          <w:color w:val="000000"/>
          <w:sz w:val="24"/>
          <w:szCs w:val="24"/>
        </w:rPr>
        <w:t>Keywords</w:t>
      </w:r>
      <w:proofErr w:type="spellEnd"/>
      <w:r>
        <w:rPr>
          <w:color w:val="000000"/>
          <w:sz w:val="24"/>
          <w:szCs w:val="24"/>
        </w:rPr>
        <w:t xml:space="preserve">: Deafblindness, </w:t>
      </w:r>
      <w:proofErr w:type="spellStart"/>
      <w:r>
        <w:rPr>
          <w:color w:val="000000"/>
          <w:sz w:val="24"/>
          <w:szCs w:val="24"/>
        </w:rPr>
        <w:t>access</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justice</w:t>
      </w:r>
      <w:proofErr w:type="spellEnd"/>
      <w:r>
        <w:rPr>
          <w:color w:val="000000"/>
          <w:sz w:val="24"/>
          <w:szCs w:val="24"/>
        </w:rPr>
        <w:t xml:space="preserve">, artificial </w:t>
      </w:r>
      <w:proofErr w:type="spellStart"/>
      <w:r>
        <w:rPr>
          <w:color w:val="000000"/>
          <w:sz w:val="24"/>
          <w:szCs w:val="24"/>
        </w:rPr>
        <w:t>intelligence</w:t>
      </w:r>
      <w:proofErr w:type="spellEnd"/>
      <w:r>
        <w:rPr>
          <w:color w:val="000000"/>
          <w:sz w:val="24"/>
          <w:szCs w:val="24"/>
        </w:rPr>
        <w:t xml:space="preserve">, inclusive </w:t>
      </w:r>
      <w:proofErr w:type="spellStart"/>
      <w:r>
        <w:rPr>
          <w:color w:val="000000"/>
          <w:sz w:val="24"/>
          <w:szCs w:val="24"/>
        </w:rPr>
        <w:t>justice</w:t>
      </w:r>
      <w:proofErr w:type="spellEnd"/>
      <w:r>
        <w:rPr>
          <w:color w:val="000000"/>
          <w:sz w:val="24"/>
          <w:szCs w:val="24"/>
        </w:rPr>
        <w:t xml:space="preserve">, </w:t>
      </w:r>
      <w:proofErr w:type="spellStart"/>
      <w:r>
        <w:rPr>
          <w:color w:val="000000"/>
          <w:sz w:val="24"/>
          <w:szCs w:val="24"/>
        </w:rPr>
        <w:t>effective</w:t>
      </w:r>
      <w:proofErr w:type="spellEnd"/>
      <w:r>
        <w:rPr>
          <w:color w:val="000000"/>
          <w:sz w:val="24"/>
          <w:szCs w:val="24"/>
        </w:rPr>
        <w:t xml:space="preserve"> judicial </w:t>
      </w:r>
      <w:proofErr w:type="spellStart"/>
      <w:r>
        <w:rPr>
          <w:color w:val="000000"/>
          <w:sz w:val="24"/>
          <w:szCs w:val="24"/>
        </w:rPr>
        <w:t>protection</w:t>
      </w:r>
      <w:proofErr w:type="spellEnd"/>
      <w:r>
        <w:rPr>
          <w:color w:val="000000"/>
          <w:sz w:val="24"/>
          <w:szCs w:val="24"/>
        </w:rPr>
        <w:t>.</w:t>
      </w:r>
    </w:p>
    <w:p w14:paraId="0E8269D0" w14:textId="77777777" w:rsidR="001F72F2" w:rsidRDefault="002719B2">
      <w:pPr>
        <w:pBdr>
          <w:top w:val="nil"/>
          <w:left w:val="nil"/>
          <w:bottom w:val="nil"/>
          <w:right w:val="nil"/>
          <w:between w:val="nil"/>
        </w:pBdr>
        <w:spacing w:before="87" w:line="360" w:lineRule="auto"/>
        <w:rPr>
          <w:color w:val="000000"/>
          <w:sz w:val="24"/>
          <w:szCs w:val="24"/>
        </w:rPr>
      </w:pPr>
      <w:r>
        <w:rPr>
          <w:noProof/>
        </w:rPr>
        <mc:AlternateContent>
          <mc:Choice Requires="wpg">
            <w:drawing>
              <wp:anchor distT="0" distB="0" distL="0" distR="0" simplePos="0" relativeHeight="251658240" behindDoc="0" locked="0" layoutInCell="1" hidden="0" allowOverlap="1" wp14:anchorId="0E826A5E" wp14:editId="0E826A5F">
                <wp:simplePos x="0" y="0"/>
                <wp:positionH relativeFrom="column">
                  <wp:posOffset>166419</wp:posOffset>
                </wp:positionH>
                <wp:positionV relativeFrom="paragraph">
                  <wp:posOffset>210576</wp:posOffset>
                </wp:positionV>
                <wp:extent cx="1829435" cy="12700"/>
                <wp:effectExtent l="0" t="0" r="0" b="0"/>
                <wp:wrapTopAndBottom distT="0" distB="0"/>
                <wp:docPr id="1" name="Freeform: Shape 1"/>
                <wp:cNvGraphicFramePr/>
                <a:graphic xmlns:a="http://schemas.openxmlformats.org/drawingml/2006/main">
                  <a:graphicData uri="http://schemas.microsoft.com/office/word/2010/wordprocessingShape">
                    <wps:wsp>
                      <wps:cNvSpPr/>
                      <wps:spPr>
                        <a:xfrm>
                          <a:off x="4431283" y="3775238"/>
                          <a:ext cx="1829435" cy="9525"/>
                        </a:xfrm>
                        <a:custGeom>
                          <a:avLst/>
                          <a:gdLst/>
                          <a:ahLst/>
                          <a:cxnLst/>
                          <a:rect l="l" t="t" r="r" b="b"/>
                          <a:pathLst>
                            <a:path w="1829435" h="9525" extrusionOk="0">
                              <a:moveTo>
                                <a:pt x="1829054" y="0"/>
                              </a:moveTo>
                              <a:lnTo>
                                <a:pt x="0" y="0"/>
                              </a:lnTo>
                              <a:lnTo>
                                <a:pt x="0" y="9143"/>
                              </a:lnTo>
                              <a:lnTo>
                                <a:pt x="1829054" y="9143"/>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166419</wp:posOffset>
                </wp:positionH>
                <wp:positionV relativeFrom="paragraph">
                  <wp:posOffset>210576</wp:posOffset>
                </wp:positionV>
                <wp:extent cx="1829435"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829435" cy="12700"/>
                        </a:xfrm>
                        <a:prstGeom prst="rect"/>
                        <a:ln/>
                      </pic:spPr>
                    </pic:pic>
                  </a:graphicData>
                </a:graphic>
              </wp:anchor>
            </w:drawing>
          </mc:Fallback>
        </mc:AlternateContent>
      </w:r>
    </w:p>
    <w:p w14:paraId="0E8269D1" w14:textId="77777777" w:rsidR="001F72F2" w:rsidRDefault="002719B2">
      <w:pPr>
        <w:spacing w:before="100" w:line="360" w:lineRule="auto"/>
        <w:ind w:left="262" w:right="257"/>
        <w:rPr>
          <w:sz w:val="24"/>
          <w:szCs w:val="24"/>
        </w:rPr>
        <w:sectPr w:rsidR="001F72F2">
          <w:pgSz w:w="12240" w:h="15840"/>
          <w:pgMar w:top="1340" w:right="1440" w:bottom="280" w:left="1440" w:header="360" w:footer="360" w:gutter="0"/>
          <w:pgNumType w:start="1"/>
          <w:cols w:space="720"/>
        </w:sectPr>
      </w:pPr>
      <w:bookmarkStart w:id="0" w:name="_1m6kq53ycrbn" w:colFirst="0" w:colLast="0"/>
      <w:bookmarkEnd w:id="0"/>
      <w:r>
        <w:rPr>
          <w:sz w:val="24"/>
          <w:szCs w:val="24"/>
          <w:vertAlign w:val="superscript"/>
        </w:rPr>
        <w:t xml:space="preserve">1* </w:t>
      </w:r>
      <w:r>
        <w:rPr>
          <w:sz w:val="24"/>
          <w:szCs w:val="24"/>
        </w:rPr>
        <w:t xml:space="preserve">Hugo </w:t>
      </w:r>
      <w:proofErr w:type="spellStart"/>
      <w:r>
        <w:rPr>
          <w:sz w:val="24"/>
          <w:szCs w:val="24"/>
        </w:rPr>
        <w:t>Sebastian</w:t>
      </w:r>
      <w:proofErr w:type="spellEnd"/>
      <w:r>
        <w:rPr>
          <w:sz w:val="24"/>
          <w:szCs w:val="24"/>
        </w:rPr>
        <w:t xml:space="preserve"> Cuadros </w:t>
      </w:r>
      <w:proofErr w:type="spellStart"/>
      <w:r>
        <w:rPr>
          <w:sz w:val="24"/>
          <w:szCs w:val="24"/>
        </w:rPr>
        <w:t>Rodriguez</w:t>
      </w:r>
      <w:proofErr w:type="spellEnd"/>
      <w:r>
        <w:rPr>
          <w:sz w:val="24"/>
          <w:szCs w:val="24"/>
        </w:rPr>
        <w:t xml:space="preserve"> es alumno del décimo segundo ciclo de estudios de la Facultad de Derecho y Ciencias Políticas de la Universidad Católica </w:t>
      </w:r>
      <w:r>
        <w:rPr>
          <w:sz w:val="24"/>
          <w:szCs w:val="24"/>
        </w:rPr>
        <w:lastRenderedPageBreak/>
        <w:t xml:space="preserve">Sedes Sapientiae. Miembro del Semillero de Investigación “Grupos de especial protección: discapacidad, pueblos indígenas y niñez”. </w:t>
      </w:r>
      <w:r>
        <w:rPr>
          <w:sz w:val="24"/>
          <w:szCs w:val="24"/>
          <w:vertAlign w:val="superscript"/>
        </w:rPr>
        <w:t xml:space="preserve">2* </w:t>
      </w:r>
      <w:proofErr w:type="spellStart"/>
      <w:r>
        <w:rPr>
          <w:sz w:val="24"/>
          <w:szCs w:val="24"/>
        </w:rPr>
        <w:t>Nuccia</w:t>
      </w:r>
      <w:proofErr w:type="spellEnd"/>
      <w:r>
        <w:rPr>
          <w:sz w:val="24"/>
          <w:szCs w:val="24"/>
        </w:rPr>
        <w:t xml:space="preserve"> Seminario Hurtado es docente del curso “Derechos de la Persona con Discapacidad” de la Facultad de Derecho y Ciencias Políticas de la Universidad Católica Sedes Sapientiae.</w:t>
      </w:r>
    </w:p>
    <w:p w14:paraId="0E8269D2" w14:textId="77777777" w:rsidR="001F72F2" w:rsidRDefault="002719B2">
      <w:pPr>
        <w:pStyle w:val="Heading1"/>
        <w:rPr>
          <w:b w:val="0"/>
          <w:bCs w:val="0"/>
          <w:sz w:val="28"/>
          <w:szCs w:val="28"/>
        </w:rPr>
      </w:pPr>
      <w:r>
        <w:rPr>
          <w:b w:val="0"/>
          <w:bCs w:val="0"/>
          <w:sz w:val="28"/>
          <w:szCs w:val="28"/>
        </w:rPr>
        <w:lastRenderedPageBreak/>
        <w:t>INTRODUCCIÓN</w:t>
      </w:r>
    </w:p>
    <w:p w14:paraId="0E8269D3" w14:textId="77777777" w:rsidR="001F72F2" w:rsidRDefault="001F72F2"/>
    <w:p w14:paraId="0E8269D4" w14:textId="77777777" w:rsidR="001F72F2" w:rsidRDefault="002719B2">
      <w:pPr>
        <w:pBdr>
          <w:top w:val="nil"/>
          <w:left w:val="nil"/>
          <w:bottom w:val="nil"/>
          <w:right w:val="nil"/>
          <w:between w:val="nil"/>
        </w:pBdr>
        <w:spacing w:line="360" w:lineRule="auto"/>
        <w:ind w:right="257"/>
        <w:rPr>
          <w:color w:val="000000"/>
          <w:sz w:val="24"/>
          <w:szCs w:val="24"/>
        </w:rPr>
      </w:pPr>
      <w:r>
        <w:rPr>
          <w:color w:val="000000"/>
          <w:sz w:val="24"/>
          <w:szCs w:val="24"/>
        </w:rPr>
        <w:t xml:space="preserve">En el Perú, el acceso a la justicia continúa siendo limitado para amplios sectores de la población, afectando con mayor intensidad a las personas con sordoceguera. Según Avellaneda et al. (2024), las personas con discapacidad enfrentan múltiples barreras comunicativas, procedimentales y estructurales que dificultan el ejercicio pleno de sus derechos fundamentales. A pesar de los esfuerzos del Estado, las entidades públicas aún no logran identificar ni atender de manera eficiente las consecuencias derivadas </w:t>
      </w:r>
      <w:r>
        <w:rPr>
          <w:color w:val="000000"/>
          <w:sz w:val="24"/>
          <w:szCs w:val="24"/>
        </w:rPr>
        <w:t>de una atención judicial insuficiente y desadaptada a las necesidades de esta población, lo que refleja una marcada brecha entre el reconocimiento normativo del derecho a la igualdad y su aplicación práctica dentro del sistema judicial peruano.</w:t>
      </w:r>
    </w:p>
    <w:p w14:paraId="0E8269D5" w14:textId="77777777" w:rsidR="001F72F2" w:rsidRDefault="002719B2">
      <w:pPr>
        <w:pBdr>
          <w:top w:val="nil"/>
          <w:left w:val="nil"/>
          <w:bottom w:val="nil"/>
          <w:right w:val="nil"/>
          <w:between w:val="nil"/>
        </w:pBdr>
        <w:spacing w:before="252" w:line="360" w:lineRule="auto"/>
        <w:rPr>
          <w:color w:val="000000"/>
          <w:sz w:val="24"/>
          <w:szCs w:val="24"/>
        </w:rPr>
      </w:pPr>
      <w:r>
        <w:rPr>
          <w:color w:val="000000"/>
          <w:sz w:val="24"/>
          <w:szCs w:val="24"/>
        </w:rPr>
        <w:t>Ante esta problemática, el presente ensayo busca responder a las siguientes interrogantes:</w:t>
      </w:r>
    </w:p>
    <w:p w14:paraId="0E8269D6" w14:textId="77777777" w:rsidR="001F72F2" w:rsidRDefault="002719B2">
      <w:pPr>
        <w:pBdr>
          <w:top w:val="nil"/>
          <w:left w:val="nil"/>
          <w:bottom w:val="nil"/>
          <w:right w:val="nil"/>
          <w:between w:val="nil"/>
        </w:pBdr>
        <w:spacing w:before="1" w:line="360" w:lineRule="auto"/>
        <w:ind w:right="255"/>
        <w:rPr>
          <w:color w:val="000000"/>
          <w:sz w:val="24"/>
          <w:szCs w:val="24"/>
        </w:rPr>
      </w:pPr>
      <w:r>
        <w:rPr>
          <w:color w:val="000000"/>
          <w:sz w:val="24"/>
          <w:szCs w:val="24"/>
        </w:rPr>
        <w:t>¿de qué manera las personas con sordoceguera ejercen su derecho de acceso a la justicia en el Perú? y ¿cómo puede la inteligencia artificial contribuir a eliminar las barreras que limitan dicho acceso, garantizando una justicia inclusiva y efectiva?</w:t>
      </w:r>
    </w:p>
    <w:p w14:paraId="0E8269D7" w14:textId="77777777" w:rsidR="001F72F2" w:rsidRDefault="002719B2">
      <w:pPr>
        <w:pBdr>
          <w:top w:val="nil"/>
          <w:left w:val="nil"/>
          <w:bottom w:val="nil"/>
          <w:right w:val="nil"/>
          <w:between w:val="nil"/>
        </w:pBdr>
        <w:spacing w:before="252" w:line="360" w:lineRule="auto"/>
        <w:ind w:right="253"/>
        <w:rPr>
          <w:color w:val="000000"/>
          <w:sz w:val="24"/>
          <w:szCs w:val="24"/>
        </w:rPr>
      </w:pPr>
      <w:r>
        <w:rPr>
          <w:color w:val="000000"/>
          <w:sz w:val="24"/>
          <w:szCs w:val="24"/>
        </w:rPr>
        <w:t>La investigación se desarrolla en un contexto en el que se ha fortalecido el marco normativo sobre discapacidad y tecnología, con la aprobación del Protocolo de acceso a la justicia de personas con discapacidad mediante la Resolución Administrativa N.º 010-2018-CE-PJ, y con la promulgación de la Ley N.º 31814, Ley que promueve el uso de la inteligencia artificial en favor del desarrollo económico y social del país.</w:t>
      </w:r>
    </w:p>
    <w:p w14:paraId="0E8269D8" w14:textId="77777777" w:rsidR="001F72F2" w:rsidRDefault="001F72F2">
      <w:pPr>
        <w:pBdr>
          <w:top w:val="nil"/>
          <w:left w:val="nil"/>
          <w:bottom w:val="nil"/>
          <w:right w:val="nil"/>
          <w:between w:val="nil"/>
        </w:pBdr>
        <w:spacing w:before="1" w:line="360" w:lineRule="auto"/>
        <w:rPr>
          <w:color w:val="000000"/>
          <w:sz w:val="24"/>
          <w:szCs w:val="24"/>
        </w:rPr>
      </w:pPr>
    </w:p>
    <w:p w14:paraId="0E8269D9" w14:textId="77777777" w:rsidR="001F72F2" w:rsidRDefault="002719B2">
      <w:pPr>
        <w:pBdr>
          <w:top w:val="nil"/>
          <w:left w:val="nil"/>
          <w:bottom w:val="nil"/>
          <w:right w:val="nil"/>
          <w:between w:val="nil"/>
        </w:pBdr>
        <w:spacing w:before="1" w:line="360" w:lineRule="auto"/>
        <w:ind w:right="258"/>
        <w:rPr>
          <w:color w:val="000000"/>
          <w:sz w:val="24"/>
          <w:szCs w:val="24"/>
        </w:rPr>
      </w:pPr>
      <w:r>
        <w:rPr>
          <w:color w:val="000000"/>
          <w:sz w:val="24"/>
          <w:szCs w:val="24"/>
        </w:rPr>
        <w:t>En este marco, se emplea un enfoque cualitativo de tipo documental y un diseño jurídico comparativo, orientado a comprender los avances normativos y los desafíos prácticos que enfrenta la administración de justicia peruana en materia de inclusión.</w:t>
      </w:r>
    </w:p>
    <w:p w14:paraId="0E8269DA" w14:textId="77777777" w:rsidR="001F72F2" w:rsidRDefault="002719B2">
      <w:pPr>
        <w:pBdr>
          <w:top w:val="nil"/>
          <w:left w:val="nil"/>
          <w:bottom w:val="nil"/>
          <w:right w:val="nil"/>
          <w:between w:val="nil"/>
        </w:pBdr>
        <w:spacing w:before="252" w:line="360" w:lineRule="auto"/>
        <w:ind w:right="252"/>
        <w:rPr>
          <w:color w:val="000000"/>
          <w:sz w:val="24"/>
          <w:szCs w:val="24"/>
        </w:rPr>
      </w:pPr>
      <w:r>
        <w:rPr>
          <w:color w:val="000000"/>
          <w:sz w:val="24"/>
          <w:szCs w:val="24"/>
        </w:rPr>
        <w:t xml:space="preserve">El ensayo se estructura de la siguiente manera: en primer lugar, se analiza el derecho de acceso a la justicia y su relación con la inclusión de las personas con discapacidad; en segundo lugar, se examinan las principales barreras que enfrentan las personas con sordoceguera dentro del sistema judicial; posteriormente, se estudia el Protocolo de acceso a la justicia de personas con discapacidad y su </w:t>
      </w:r>
      <w:r>
        <w:rPr>
          <w:color w:val="000000"/>
          <w:sz w:val="24"/>
          <w:szCs w:val="24"/>
        </w:rPr>
        <w:lastRenderedPageBreak/>
        <w:t>vinculación con las Reglas de Brasilia; en cuarto lugar, se evalúa el potencial de la inteligencia artificial como herramienta para garantizar la accesibilidad judicial; y, finalmente, se presentan lineamientos orientados a consolidar una justicia verdaderamente inclusiva en el Perú.</w:t>
      </w:r>
    </w:p>
    <w:p w14:paraId="0E8269DB" w14:textId="77777777" w:rsidR="001F72F2" w:rsidRDefault="001F72F2">
      <w:pPr>
        <w:pBdr>
          <w:top w:val="nil"/>
          <w:left w:val="nil"/>
          <w:bottom w:val="nil"/>
          <w:right w:val="nil"/>
          <w:between w:val="nil"/>
        </w:pBdr>
        <w:spacing w:line="360" w:lineRule="auto"/>
        <w:rPr>
          <w:color w:val="000000"/>
          <w:sz w:val="30"/>
          <w:szCs w:val="30"/>
        </w:rPr>
      </w:pPr>
    </w:p>
    <w:p w14:paraId="0E8269DC" w14:textId="77777777" w:rsidR="001F72F2" w:rsidRDefault="002719B2">
      <w:pPr>
        <w:pStyle w:val="Heading1"/>
        <w:rPr>
          <w:b w:val="0"/>
          <w:bCs w:val="0"/>
          <w:sz w:val="28"/>
          <w:szCs w:val="28"/>
        </w:rPr>
      </w:pPr>
      <w:r>
        <w:rPr>
          <w:b w:val="0"/>
          <w:bCs w:val="0"/>
          <w:sz w:val="28"/>
          <w:szCs w:val="28"/>
        </w:rPr>
        <w:t>METODOLOGÍA</w:t>
      </w:r>
    </w:p>
    <w:p w14:paraId="0E8269DD" w14:textId="77777777" w:rsidR="001F72F2" w:rsidRDefault="001F72F2"/>
    <w:p w14:paraId="0E8269DE" w14:textId="77777777" w:rsidR="001F72F2" w:rsidRDefault="002719B2">
      <w:pPr>
        <w:pBdr>
          <w:top w:val="nil"/>
          <w:left w:val="nil"/>
          <w:bottom w:val="nil"/>
          <w:right w:val="nil"/>
          <w:between w:val="nil"/>
        </w:pBdr>
        <w:spacing w:before="2" w:line="360" w:lineRule="auto"/>
        <w:ind w:right="254"/>
        <w:rPr>
          <w:color w:val="000000"/>
          <w:sz w:val="24"/>
          <w:szCs w:val="24"/>
        </w:rPr>
      </w:pPr>
      <w:r>
        <w:rPr>
          <w:color w:val="000000"/>
          <w:sz w:val="24"/>
          <w:szCs w:val="24"/>
        </w:rPr>
        <w:t xml:space="preserve">La presente investigación tiene un enfoque cualitativo de tipo documental y un alcance descriptivo. Su propósito es examinar de manera sistemática cómo las personas con sordoceguera enfrentan barreras en el acceso a la justicia peruana y de qué modo la inteligencia artificial contribuye a superarlas. Para la obtención de resultados, se emplea la técnica de análisis documental, que permite comparar e investigar fuentes normativas, doctrinales y académicas (Hernández-Sampieri y Mendoza, 2018). La elección de </w:t>
      </w:r>
      <w:r>
        <w:rPr>
          <w:color w:val="000000"/>
          <w:sz w:val="24"/>
          <w:szCs w:val="24"/>
        </w:rPr>
        <w:t xml:space="preserve">las fuentes constituyó desde dos aspectos: i) literatura científica publicada en </w:t>
      </w:r>
      <w:proofErr w:type="spellStart"/>
      <w:r>
        <w:rPr>
          <w:color w:val="000000"/>
          <w:sz w:val="24"/>
          <w:szCs w:val="24"/>
        </w:rPr>
        <w:t>Scopus</w:t>
      </w:r>
      <w:proofErr w:type="spellEnd"/>
      <w:r>
        <w:rPr>
          <w:color w:val="000000"/>
          <w:sz w:val="24"/>
          <w:szCs w:val="24"/>
        </w:rPr>
        <w:t xml:space="preserve"> y Web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Science</w:t>
      </w:r>
      <w:proofErr w:type="spellEnd"/>
      <w:r>
        <w:rPr>
          <w:color w:val="000000"/>
          <w:sz w:val="24"/>
          <w:szCs w:val="24"/>
        </w:rPr>
        <w:t xml:space="preserve"> y </w:t>
      </w:r>
      <w:proofErr w:type="spellStart"/>
      <w:r>
        <w:rPr>
          <w:color w:val="000000"/>
          <w:sz w:val="24"/>
          <w:szCs w:val="24"/>
        </w:rPr>
        <w:t>ii</w:t>
      </w:r>
      <w:proofErr w:type="spellEnd"/>
      <w:r>
        <w:rPr>
          <w:color w:val="000000"/>
          <w:sz w:val="24"/>
          <w:szCs w:val="24"/>
        </w:rPr>
        <w:t>) normativa internacional y nacional sobre las personas con sordoceguera.</w:t>
      </w:r>
    </w:p>
    <w:p w14:paraId="0E8269DF" w14:textId="77777777" w:rsidR="001F72F2" w:rsidRDefault="002719B2">
      <w:pPr>
        <w:pBdr>
          <w:top w:val="nil"/>
          <w:left w:val="nil"/>
          <w:bottom w:val="nil"/>
          <w:right w:val="nil"/>
          <w:between w:val="nil"/>
        </w:pBdr>
        <w:spacing w:before="252" w:line="360" w:lineRule="auto"/>
        <w:ind w:right="252"/>
        <w:rPr>
          <w:color w:val="000000"/>
          <w:sz w:val="24"/>
          <w:szCs w:val="24"/>
        </w:rPr>
      </w:pPr>
      <w:r>
        <w:rPr>
          <w:color w:val="000000"/>
          <w:sz w:val="24"/>
          <w:szCs w:val="24"/>
        </w:rPr>
        <w:t xml:space="preserve">Desde una perspectiva jurídica, se aplican los métodos dogmático-jurídico y comparativo. El primero permite analizar las normas, principios y políticas relacionadas con el acceso a la justicia y la inclusión de las personas con discapacidad, a partir del estudio de los </w:t>
      </w:r>
      <w:proofErr w:type="spellStart"/>
      <w:r>
        <w:rPr>
          <w:color w:val="000000"/>
          <w:sz w:val="24"/>
          <w:szCs w:val="24"/>
        </w:rPr>
        <w:t>travaux</w:t>
      </w:r>
      <w:proofErr w:type="spellEnd"/>
      <w:r>
        <w:rPr>
          <w:color w:val="000000"/>
          <w:sz w:val="24"/>
          <w:szCs w:val="24"/>
        </w:rPr>
        <w:t xml:space="preserve"> </w:t>
      </w:r>
      <w:proofErr w:type="spellStart"/>
      <w:r>
        <w:rPr>
          <w:color w:val="000000"/>
          <w:sz w:val="24"/>
          <w:szCs w:val="24"/>
        </w:rPr>
        <w:t>préparatoires</w:t>
      </w:r>
      <w:proofErr w:type="spellEnd"/>
      <w:r>
        <w:rPr>
          <w:color w:val="000000"/>
          <w:sz w:val="24"/>
          <w:szCs w:val="24"/>
        </w:rPr>
        <w:t>, la normativa nacional e internacional y la jurisprudencia relevante del Tribunal Constitucional del Perú, así como de organismos internacionales de derechos humanos. El segundo método posibilita contrastar la normativa peruana con experiencias internacionales, lo que permite comprender el grado de efectividad de los mecanismos jurídicos actuales y evaluar el potencial ético y práctico de la inteligencia artificial como medio para promover la inclusión y la accesibilidad judicial (Mila</w:t>
      </w:r>
      <w:r>
        <w:rPr>
          <w:color w:val="000000"/>
          <w:sz w:val="24"/>
          <w:szCs w:val="24"/>
        </w:rPr>
        <w:t xml:space="preserve"> Maldonado et al., 2021).</w:t>
      </w:r>
    </w:p>
    <w:p w14:paraId="0E8269E0" w14:textId="77777777" w:rsidR="001F72F2" w:rsidRDefault="001F72F2">
      <w:pPr>
        <w:pBdr>
          <w:top w:val="nil"/>
          <w:left w:val="nil"/>
          <w:bottom w:val="nil"/>
          <w:right w:val="nil"/>
          <w:between w:val="nil"/>
        </w:pBdr>
        <w:spacing w:line="360" w:lineRule="auto"/>
        <w:rPr>
          <w:color w:val="000000"/>
          <w:sz w:val="24"/>
          <w:szCs w:val="24"/>
        </w:rPr>
      </w:pPr>
    </w:p>
    <w:p w14:paraId="0E8269E1" w14:textId="77777777" w:rsidR="001F72F2" w:rsidRDefault="002719B2">
      <w:pPr>
        <w:pStyle w:val="Heading1"/>
        <w:rPr>
          <w:b w:val="0"/>
          <w:bCs w:val="0"/>
          <w:sz w:val="28"/>
          <w:szCs w:val="28"/>
        </w:rPr>
      </w:pPr>
      <w:r>
        <w:rPr>
          <w:b w:val="0"/>
          <w:bCs w:val="0"/>
          <w:sz w:val="28"/>
          <w:szCs w:val="28"/>
        </w:rPr>
        <w:t>DESARROLLO</w:t>
      </w:r>
    </w:p>
    <w:p w14:paraId="0E8269E2" w14:textId="77777777" w:rsidR="001F72F2" w:rsidRDefault="001F72F2"/>
    <w:p w14:paraId="0E8269E3" w14:textId="77777777" w:rsidR="001F72F2" w:rsidRDefault="002719B2">
      <w:pPr>
        <w:pStyle w:val="Heading2"/>
        <w:numPr>
          <w:ilvl w:val="0"/>
          <w:numId w:val="2"/>
        </w:numPr>
        <w:tabs>
          <w:tab w:val="left" w:pos="979"/>
        </w:tabs>
        <w:spacing w:before="1" w:line="360" w:lineRule="auto"/>
        <w:ind w:right="253" w:firstLine="358"/>
        <w:rPr>
          <w:b w:val="0"/>
          <w:bCs w:val="0"/>
          <w:sz w:val="24"/>
          <w:szCs w:val="24"/>
        </w:rPr>
      </w:pPr>
      <w:bookmarkStart w:id="1" w:name="_koxr6vgnb52g" w:colFirst="0" w:colLast="0"/>
      <w:bookmarkEnd w:id="1"/>
      <w:r>
        <w:rPr>
          <w:b w:val="0"/>
          <w:bCs w:val="0"/>
          <w:sz w:val="24"/>
          <w:szCs w:val="24"/>
        </w:rPr>
        <w:t xml:space="preserve">El derecho de acceso a la justicia y la inclusión de personas con discapacidad </w:t>
      </w:r>
    </w:p>
    <w:p w14:paraId="0E8269E4" w14:textId="77777777" w:rsidR="001F72F2" w:rsidRDefault="001F72F2">
      <w:pPr>
        <w:pBdr>
          <w:top w:val="nil"/>
          <w:left w:val="nil"/>
          <w:bottom w:val="nil"/>
          <w:right w:val="nil"/>
          <w:between w:val="nil"/>
        </w:pBdr>
        <w:tabs>
          <w:tab w:val="left" w:pos="979"/>
        </w:tabs>
        <w:spacing w:before="1" w:line="360" w:lineRule="auto"/>
        <w:ind w:left="262" w:right="253"/>
        <w:rPr>
          <w:sz w:val="24"/>
          <w:szCs w:val="24"/>
        </w:rPr>
      </w:pPr>
    </w:p>
    <w:p w14:paraId="0E8269E5" w14:textId="77777777" w:rsidR="001F72F2" w:rsidRDefault="002719B2">
      <w:pPr>
        <w:pBdr>
          <w:top w:val="nil"/>
          <w:left w:val="nil"/>
          <w:bottom w:val="nil"/>
          <w:right w:val="nil"/>
          <w:between w:val="nil"/>
        </w:pBdr>
        <w:tabs>
          <w:tab w:val="left" w:pos="979"/>
        </w:tabs>
        <w:spacing w:before="1" w:line="360" w:lineRule="auto"/>
        <w:ind w:right="253"/>
        <w:rPr>
          <w:color w:val="000000"/>
          <w:sz w:val="24"/>
          <w:szCs w:val="24"/>
        </w:rPr>
      </w:pPr>
      <w:r>
        <w:rPr>
          <w:color w:val="000000"/>
          <w:sz w:val="24"/>
          <w:szCs w:val="24"/>
        </w:rPr>
        <w:t xml:space="preserve">El acceso a la justicia constituye un derecho fundamental y uno de los pilares del Estado de derecho, pues garantiza la protección judicial efectiva y la realización de </w:t>
      </w:r>
      <w:r>
        <w:rPr>
          <w:color w:val="000000"/>
          <w:sz w:val="24"/>
          <w:szCs w:val="24"/>
        </w:rPr>
        <w:lastRenderedPageBreak/>
        <w:t>las libertades ciudadanas. No se limita al simple ingreso a los tribunales, sino que implica el derecho a participar procesalmente y ser escuchado de manera razonable (Bernales, 2019). Para las personas con discapacidad, este derecho adquiere un valor especial, ya que deben superar no solo barreras físicas, sino también comunicativas y procedimentales que históricamente han restringido su participación en la administración de justicia.</w:t>
      </w:r>
    </w:p>
    <w:p w14:paraId="0E8269E6" w14:textId="77777777" w:rsidR="001F72F2" w:rsidRDefault="001F72F2">
      <w:pPr>
        <w:pBdr>
          <w:top w:val="nil"/>
          <w:left w:val="nil"/>
          <w:bottom w:val="nil"/>
          <w:right w:val="nil"/>
          <w:between w:val="nil"/>
        </w:pBdr>
        <w:spacing w:before="2" w:line="360" w:lineRule="auto"/>
        <w:rPr>
          <w:color w:val="000000"/>
          <w:sz w:val="24"/>
          <w:szCs w:val="24"/>
        </w:rPr>
      </w:pPr>
    </w:p>
    <w:p w14:paraId="0E8269E7"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En el ámbito internacional, la Convención sobre los Derechos de las Personas con Discapacidad (ONU, 2006), ratificada por el Perú mediante la Resolución Legislativa N.º 29127, constituye el principal marco jurídico. Su artículo 13 obliga a los Estados a garantizar el acceso a la justicia en igualdad de condiciones, implementando ajustes de procedimiento y apoyos adecuados. En esa línea, Aguirre (2023) señala que el acceso a la justicia se ha consolidado como una obligación jurídica internacional que exige e</w:t>
      </w:r>
      <w:r>
        <w:rPr>
          <w:color w:val="000000"/>
          <w:sz w:val="24"/>
          <w:szCs w:val="24"/>
        </w:rPr>
        <w:t>liminar obstáculos formales y asegurar mecanismos efectivos de reparación y participación.</w:t>
      </w:r>
    </w:p>
    <w:p w14:paraId="0E8269E8" w14:textId="77777777" w:rsidR="001F72F2" w:rsidRDefault="002719B2">
      <w:pPr>
        <w:pBdr>
          <w:top w:val="nil"/>
          <w:left w:val="nil"/>
          <w:bottom w:val="nil"/>
          <w:right w:val="nil"/>
          <w:between w:val="nil"/>
        </w:pBdr>
        <w:spacing w:before="252" w:line="360" w:lineRule="auto"/>
        <w:ind w:right="253"/>
        <w:rPr>
          <w:color w:val="000000"/>
          <w:sz w:val="24"/>
          <w:szCs w:val="24"/>
        </w:rPr>
      </w:pPr>
      <w:r>
        <w:rPr>
          <w:color w:val="000000"/>
          <w:sz w:val="24"/>
          <w:szCs w:val="24"/>
        </w:rPr>
        <w:t>El ordenamiento peruano incorpora estos estándares a través de diversos instrumentos de rango constitucional, legal y reglamentario. La Constitución de 1993 reconoce en su artículo 7 el deber estatal de brindar atención preferente a las personas con discapacidad, y en el artículo 139, inciso 3, el principio de tutela jurisdiccional efectiva, imponiendo al Estado la obligación de implementar ajustes razonables. En concordancia, la Ley N.º 29973, Ley General de la Persona con Discapacidad, dispone la adopción</w:t>
      </w:r>
      <w:r>
        <w:rPr>
          <w:color w:val="000000"/>
          <w:sz w:val="24"/>
          <w:szCs w:val="24"/>
        </w:rPr>
        <w:t xml:space="preserve"> de medidas y apoyos necesarios para garantizar la accesibilidad judicial (Presidencia de la República, 2012).</w:t>
      </w:r>
    </w:p>
    <w:p w14:paraId="0E8269E9" w14:textId="77777777" w:rsidR="001F72F2" w:rsidRDefault="001F72F2">
      <w:pPr>
        <w:pBdr>
          <w:top w:val="nil"/>
          <w:left w:val="nil"/>
          <w:bottom w:val="nil"/>
          <w:right w:val="nil"/>
          <w:between w:val="nil"/>
        </w:pBdr>
        <w:spacing w:line="360" w:lineRule="auto"/>
        <w:rPr>
          <w:color w:val="000000"/>
          <w:sz w:val="24"/>
          <w:szCs w:val="24"/>
        </w:rPr>
      </w:pPr>
    </w:p>
    <w:p w14:paraId="0E8269EA" w14:textId="77777777" w:rsidR="001F72F2" w:rsidRDefault="002719B2">
      <w:pPr>
        <w:pBdr>
          <w:top w:val="nil"/>
          <w:left w:val="nil"/>
          <w:bottom w:val="nil"/>
          <w:right w:val="nil"/>
          <w:between w:val="nil"/>
        </w:pBdr>
        <w:spacing w:line="360" w:lineRule="auto"/>
        <w:ind w:right="256"/>
        <w:rPr>
          <w:color w:val="000000"/>
          <w:sz w:val="24"/>
          <w:szCs w:val="24"/>
        </w:rPr>
      </w:pPr>
      <w:r>
        <w:rPr>
          <w:color w:val="000000"/>
          <w:sz w:val="24"/>
          <w:szCs w:val="24"/>
        </w:rPr>
        <w:t>Asimismo, el Decreto Supremo N.º 007-2021-MIMP aprueba la Política Nacional Multisectorial en Discapacidad para el Desarrollo al 2030, que reconoce las brechas estructurales en el acceso a los servicios públicos e impulsa el uso de tecnologías de apoyo para la inclusión (Presidencia de la República, 2021).</w:t>
      </w:r>
    </w:p>
    <w:p w14:paraId="0E8269EB" w14:textId="77777777" w:rsidR="001F72F2" w:rsidRDefault="001F72F2">
      <w:pPr>
        <w:pBdr>
          <w:top w:val="nil"/>
          <w:left w:val="nil"/>
          <w:bottom w:val="nil"/>
          <w:right w:val="nil"/>
          <w:between w:val="nil"/>
        </w:pBdr>
        <w:spacing w:line="360" w:lineRule="auto"/>
        <w:rPr>
          <w:color w:val="000000"/>
          <w:sz w:val="24"/>
          <w:szCs w:val="24"/>
        </w:rPr>
      </w:pPr>
    </w:p>
    <w:p w14:paraId="0E8269EC"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En el plano jurisprudencial, el Tribunal Constitucional ha reafirmado la obligación estatal de garantizar el acceso efectivo a la justicia, destacando que la falta de intérpretes o mecanismos de apoyo vulnera los derechos al debido proceso y la defensa (</w:t>
      </w:r>
      <w:proofErr w:type="spellStart"/>
      <w:r>
        <w:rPr>
          <w:color w:val="000000"/>
          <w:sz w:val="24"/>
          <w:szCs w:val="24"/>
        </w:rPr>
        <w:t>Exp</w:t>
      </w:r>
      <w:proofErr w:type="spellEnd"/>
      <w:r>
        <w:rPr>
          <w:color w:val="000000"/>
          <w:sz w:val="24"/>
          <w:szCs w:val="24"/>
        </w:rPr>
        <w:t xml:space="preserve">. N.º 03583- 2021-PA/TC, entre otros). De igual modo, el Poder Judicial </w:t>
      </w:r>
      <w:r>
        <w:rPr>
          <w:color w:val="000000"/>
          <w:sz w:val="24"/>
          <w:szCs w:val="24"/>
        </w:rPr>
        <w:lastRenderedPageBreak/>
        <w:t>aprobó en 2018 el Protocolo de Acceso a la Justicia de Personas con Discapacidad, que orienta a magistrados y funcionarios en la eliminación de barreras y el uso de medios accesibles, especialmente para personas con sordoceguera.</w:t>
      </w:r>
    </w:p>
    <w:p w14:paraId="0E8269ED" w14:textId="77777777" w:rsidR="001F72F2" w:rsidRDefault="001F72F2">
      <w:pPr>
        <w:pBdr>
          <w:top w:val="nil"/>
          <w:left w:val="nil"/>
          <w:bottom w:val="nil"/>
          <w:right w:val="nil"/>
          <w:between w:val="nil"/>
        </w:pBdr>
        <w:spacing w:line="360" w:lineRule="auto"/>
        <w:rPr>
          <w:color w:val="000000"/>
          <w:sz w:val="24"/>
          <w:szCs w:val="24"/>
        </w:rPr>
      </w:pPr>
    </w:p>
    <w:p w14:paraId="0E8269EE"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Aunado a ello, tanto el marco internacional como el nacional reconocen que el acceso efectivo a la justicia debe incluir a las personas con discapacidad. Sin embargo, persiste una brecha entre la normativa y su aplicación práctica, lo que exige reforzar las políticas públicas e incorporar herramientas tecnológicas —como la inteligencia artificial— que permitan materializar la igualdad en el sistema judicial peruano.</w:t>
      </w:r>
    </w:p>
    <w:p w14:paraId="0E8269EF" w14:textId="77777777" w:rsidR="001F72F2" w:rsidRDefault="001F72F2">
      <w:pPr>
        <w:pBdr>
          <w:top w:val="nil"/>
          <w:left w:val="nil"/>
          <w:bottom w:val="nil"/>
          <w:right w:val="nil"/>
          <w:between w:val="nil"/>
        </w:pBdr>
        <w:spacing w:before="1" w:line="360" w:lineRule="auto"/>
        <w:rPr>
          <w:color w:val="000000"/>
          <w:sz w:val="24"/>
          <w:szCs w:val="24"/>
        </w:rPr>
      </w:pPr>
    </w:p>
    <w:p w14:paraId="0E8269F0" w14:textId="77777777" w:rsidR="001F72F2" w:rsidRDefault="002719B2">
      <w:pPr>
        <w:pStyle w:val="Heading2"/>
        <w:numPr>
          <w:ilvl w:val="0"/>
          <w:numId w:val="2"/>
        </w:numPr>
        <w:tabs>
          <w:tab w:val="left" w:pos="979"/>
        </w:tabs>
        <w:spacing w:line="360" w:lineRule="auto"/>
        <w:ind w:left="0"/>
        <w:rPr>
          <w:b w:val="0"/>
          <w:bCs w:val="0"/>
          <w:sz w:val="24"/>
          <w:szCs w:val="24"/>
        </w:rPr>
      </w:pPr>
      <w:bookmarkStart w:id="2" w:name="_hmpnxxf5io3v" w:colFirst="0" w:colLast="0"/>
      <w:bookmarkEnd w:id="2"/>
      <w:r>
        <w:rPr>
          <w:b w:val="0"/>
          <w:bCs w:val="0"/>
          <w:sz w:val="24"/>
          <w:szCs w:val="24"/>
        </w:rPr>
        <w:t xml:space="preserve">La sordoceguera y sus barreras en el sistema judicial peruano </w:t>
      </w:r>
    </w:p>
    <w:p w14:paraId="0E8269F1" w14:textId="77777777" w:rsidR="001F72F2" w:rsidRDefault="001F72F2">
      <w:pPr>
        <w:pStyle w:val="Heading2"/>
        <w:tabs>
          <w:tab w:val="left" w:pos="979"/>
        </w:tabs>
        <w:spacing w:line="360" w:lineRule="auto"/>
        <w:ind w:left="0" w:firstLine="0"/>
        <w:rPr>
          <w:b w:val="0"/>
          <w:bCs w:val="0"/>
          <w:sz w:val="24"/>
          <w:szCs w:val="24"/>
        </w:rPr>
      </w:pPr>
    </w:p>
    <w:p w14:paraId="0E8269F2" w14:textId="77777777" w:rsidR="001F72F2" w:rsidRDefault="002719B2">
      <w:pPr>
        <w:pStyle w:val="Heading2"/>
        <w:tabs>
          <w:tab w:val="left" w:pos="979"/>
        </w:tabs>
        <w:spacing w:line="360" w:lineRule="auto"/>
        <w:ind w:left="0" w:firstLine="0"/>
        <w:rPr>
          <w:b w:val="0"/>
          <w:bCs w:val="0"/>
          <w:color w:val="000000"/>
          <w:sz w:val="24"/>
          <w:szCs w:val="24"/>
        </w:rPr>
      </w:pPr>
      <w:r>
        <w:rPr>
          <w:b w:val="0"/>
          <w:bCs w:val="0"/>
          <w:color w:val="000000"/>
          <w:sz w:val="24"/>
          <w:szCs w:val="24"/>
        </w:rPr>
        <w:t xml:space="preserve">La sordoceguera es una discapacidad dual de carácter sensorial que compone la deficiencia visual y auditiva, y produce restricciones al día a día notablemente importantes, que van desde la comunicación hasta el acceso al conocimiento y a la locomoción (Hospital Carlos Lanfranco La Hoz, 2024). </w:t>
      </w:r>
      <w:proofErr w:type="gramStart"/>
      <w:r>
        <w:rPr>
          <w:b w:val="0"/>
          <w:bCs w:val="0"/>
          <w:color w:val="000000"/>
          <w:sz w:val="24"/>
          <w:szCs w:val="24"/>
        </w:rPr>
        <w:t>De acuerdo a</w:t>
      </w:r>
      <w:proofErr w:type="gramEnd"/>
      <w:r>
        <w:rPr>
          <w:b w:val="0"/>
          <w:bCs w:val="0"/>
          <w:color w:val="000000"/>
          <w:sz w:val="24"/>
          <w:szCs w:val="24"/>
        </w:rPr>
        <w:t xml:space="preserve"> la Federación Mundial de Sordociegos (2018), no es una mera acumulación de la discapacidad simultáneamente visual y auditiva, sino una entidad con rasgos propios, que demanda soportes y adecuaciones personalizados. A su vez, para el Perú, mediante la Ley Nro. 29524, reconoce la sordoceguera como una discapacidad, y se declara el derecho de personas sordociegas al acceso a servicios de apoyo, como es el acompañamiento de guías intérpretes, que aseguren la relación y el intercambio con el ambient</w:t>
      </w:r>
      <w:r>
        <w:rPr>
          <w:b w:val="0"/>
          <w:bCs w:val="0"/>
          <w:color w:val="000000"/>
          <w:sz w:val="24"/>
          <w:szCs w:val="24"/>
        </w:rPr>
        <w:t>e (Presidencia de la República, 2010).</w:t>
      </w:r>
    </w:p>
    <w:p w14:paraId="0E8269F3" w14:textId="77777777" w:rsidR="001F72F2" w:rsidRDefault="001F72F2">
      <w:pPr>
        <w:pBdr>
          <w:top w:val="nil"/>
          <w:left w:val="nil"/>
          <w:bottom w:val="nil"/>
          <w:right w:val="nil"/>
          <w:between w:val="nil"/>
        </w:pBdr>
        <w:spacing w:before="1" w:line="360" w:lineRule="auto"/>
        <w:rPr>
          <w:color w:val="000000"/>
          <w:sz w:val="24"/>
          <w:szCs w:val="24"/>
        </w:rPr>
      </w:pPr>
    </w:p>
    <w:p w14:paraId="0E8269F4" w14:textId="77777777" w:rsidR="001F72F2" w:rsidRDefault="002719B2">
      <w:pPr>
        <w:pBdr>
          <w:top w:val="nil"/>
          <w:left w:val="nil"/>
          <w:bottom w:val="nil"/>
          <w:right w:val="nil"/>
          <w:between w:val="nil"/>
        </w:pBdr>
        <w:spacing w:line="360" w:lineRule="auto"/>
        <w:ind w:right="252"/>
        <w:rPr>
          <w:color w:val="000000"/>
          <w:sz w:val="24"/>
          <w:szCs w:val="24"/>
        </w:rPr>
      </w:pPr>
      <w:r>
        <w:rPr>
          <w:color w:val="000000"/>
          <w:sz w:val="24"/>
          <w:szCs w:val="24"/>
        </w:rPr>
        <w:t>En el contexto de la justicia, esta situación plantea desafíos estructurales y comunicativos que agravan la desigualdad de acceso a la justicia. Según Avellaneda et al. (2024), las personas con discapacidad en el Perú tienen limitaciones en el acceso a la justicia debido a la falta de ajustes razonables, personal capacitado y recursos tecnológicos accesibles. En el caso de las personas con sordoceguera, se encuentran ante obstáculos que se extienden desde la falta de guías-intérpretes de alto nivel hasta la</w:t>
      </w:r>
      <w:r>
        <w:rPr>
          <w:color w:val="000000"/>
          <w:sz w:val="24"/>
          <w:szCs w:val="24"/>
        </w:rPr>
        <w:t xml:space="preserve"> falta de formularios accesibles para recibir notificaciones ni leer decisiones judiciales y la escasa formación del personal jurisdiccional sobre la comunicación inclusiva, impidiéndoles una participación procesal efectiva. Del mismo </w:t>
      </w:r>
      <w:r>
        <w:rPr>
          <w:color w:val="000000"/>
          <w:sz w:val="24"/>
          <w:szCs w:val="24"/>
        </w:rPr>
        <w:lastRenderedPageBreak/>
        <w:t>modo, Fohrmann y Sousa (2025) establecen que el acceso inclusivo a la justicia no debe limitarse a la eliminación de barreras físicas, sino que debe incorporarse apoyos psicosociales, comunicativos y tecnológicos que garanticen una participación plena de las personas con disca</w:t>
      </w:r>
      <w:r>
        <w:rPr>
          <w:color w:val="000000"/>
          <w:sz w:val="24"/>
          <w:szCs w:val="24"/>
        </w:rPr>
        <w:t>pacidad en los procesos judiciales.</w:t>
      </w:r>
    </w:p>
    <w:p w14:paraId="0E8269F5" w14:textId="77777777" w:rsidR="001F72F2" w:rsidRDefault="001F72F2">
      <w:pPr>
        <w:pBdr>
          <w:top w:val="nil"/>
          <w:left w:val="nil"/>
          <w:bottom w:val="nil"/>
          <w:right w:val="nil"/>
          <w:between w:val="nil"/>
        </w:pBdr>
        <w:spacing w:line="360" w:lineRule="auto"/>
        <w:rPr>
          <w:color w:val="000000"/>
          <w:sz w:val="24"/>
          <w:szCs w:val="24"/>
        </w:rPr>
      </w:pPr>
    </w:p>
    <w:p w14:paraId="0E8269F6"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En coherencia con lo anterior, el Consejo Nacional para la Integración de la Persona con Discapacidad (en adelante, CONADIS) reportó que, durante el año 2024, sostuvo el curso MOOC titulado “Reconocimiento pleno de la capacidad jurídica de las personas con discapacidad”, el cual estaba dirigido a los operadores judiciales, registrándose más de 750 inscripciones, de las cuales 231 participantes culminaron y aprobaron el programa (CONADIS, 2024). Además, la Comisión Permanente de Acceso a la Justicia del Pode</w:t>
      </w:r>
      <w:r>
        <w:rPr>
          <w:color w:val="000000"/>
          <w:sz w:val="24"/>
          <w:szCs w:val="24"/>
        </w:rPr>
        <w:t xml:space="preserve">r Judicial realizó 43 eventos académicos con un total de 6901 participantes, entre ellos 314 jueces y 4117 servidores jurisdiccionales y administrativos (CONADIS, 2024). No obstante, estas cifras, aunque alentadoras, reflejan que la capacitación específica todavía no alcanza cobertura nacional ni responde plenamente a las necesidades de las personas sordociegas, carencia que refleja que muchos justiciables sordociegos todavía dependan de familiares o terceros para poder interactuar con el sistema judicial, </w:t>
      </w:r>
      <w:r>
        <w:rPr>
          <w:color w:val="000000"/>
          <w:sz w:val="24"/>
          <w:szCs w:val="24"/>
        </w:rPr>
        <w:t>vulnerando su autonomía, confidencialidad y derecho a la participación plena en los procesos judiciales.</w:t>
      </w:r>
    </w:p>
    <w:p w14:paraId="0E8269F7" w14:textId="77777777" w:rsidR="001F72F2" w:rsidRDefault="001F72F2">
      <w:pPr>
        <w:pBdr>
          <w:top w:val="nil"/>
          <w:left w:val="nil"/>
          <w:bottom w:val="nil"/>
          <w:right w:val="nil"/>
          <w:between w:val="nil"/>
        </w:pBdr>
        <w:spacing w:before="1" w:line="360" w:lineRule="auto"/>
        <w:rPr>
          <w:color w:val="000000"/>
          <w:sz w:val="24"/>
          <w:szCs w:val="24"/>
        </w:rPr>
      </w:pPr>
    </w:p>
    <w:p w14:paraId="0E8269F8"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 xml:space="preserve">Desde una perspectiva teórica, Palacios (2019) y </w:t>
      </w:r>
      <w:proofErr w:type="spellStart"/>
      <w:r>
        <w:rPr>
          <w:color w:val="000000"/>
          <w:sz w:val="24"/>
          <w:szCs w:val="24"/>
        </w:rPr>
        <w:t>Romañach</w:t>
      </w:r>
      <w:proofErr w:type="spellEnd"/>
      <w:r>
        <w:rPr>
          <w:color w:val="000000"/>
          <w:sz w:val="24"/>
          <w:szCs w:val="24"/>
        </w:rPr>
        <w:t xml:space="preserve"> (2009) sostienen que la discapacidad no debe entenderse solo como una limitación física o sensorial, sino como el resultado de las interacciones entre las personas y el entorno que no está diseñado para una diversidad; cómo las propias instituciones, a través de sus estructuras, normas y prácticas, pueden “discapacitar” a las personas cuando no implementan ajustes razonables. En el contexto judicial, esto implica que, incluso si se pudieran implementar tecnologías o ajustes técnicos como es la inte</w:t>
      </w:r>
      <w:r>
        <w:rPr>
          <w:color w:val="000000"/>
          <w:sz w:val="24"/>
          <w:szCs w:val="24"/>
        </w:rPr>
        <w:t>ligencia artificial, todavía pueden existir barreras humanas o estructurales que limitan la participación plena de las personas con sordoceguera si no se replantean los paradigmas institucionales.</w:t>
      </w:r>
    </w:p>
    <w:p w14:paraId="0E8269F9" w14:textId="77777777" w:rsidR="001F72F2" w:rsidRDefault="001F72F2">
      <w:pPr>
        <w:pBdr>
          <w:top w:val="nil"/>
          <w:left w:val="nil"/>
          <w:bottom w:val="nil"/>
          <w:right w:val="nil"/>
          <w:between w:val="nil"/>
        </w:pBdr>
        <w:spacing w:before="1" w:line="360" w:lineRule="auto"/>
        <w:rPr>
          <w:color w:val="000000"/>
          <w:sz w:val="24"/>
          <w:szCs w:val="24"/>
        </w:rPr>
      </w:pPr>
    </w:p>
    <w:p w14:paraId="0E8269FA" w14:textId="77777777" w:rsidR="001F72F2" w:rsidRDefault="002719B2">
      <w:pPr>
        <w:pBdr>
          <w:top w:val="nil"/>
          <w:left w:val="nil"/>
          <w:bottom w:val="nil"/>
          <w:right w:val="nil"/>
          <w:between w:val="nil"/>
        </w:pBdr>
        <w:spacing w:line="360" w:lineRule="auto"/>
        <w:ind w:right="258"/>
        <w:rPr>
          <w:color w:val="000000"/>
          <w:sz w:val="24"/>
          <w:szCs w:val="24"/>
        </w:rPr>
      </w:pPr>
      <w:r>
        <w:rPr>
          <w:color w:val="000000"/>
          <w:sz w:val="24"/>
          <w:szCs w:val="24"/>
        </w:rPr>
        <w:t xml:space="preserve">En el marco internacional, la Convención sobre los Derechos de las Personas con Discapacidad (Naciones Unidas, 2006), en su artículo 9, obliga a los Estados a adoptar medidas pertinentes para asegurar el acceso de las personas con </w:t>
      </w:r>
      <w:r>
        <w:rPr>
          <w:color w:val="000000"/>
          <w:sz w:val="24"/>
          <w:szCs w:val="24"/>
        </w:rPr>
        <w:lastRenderedPageBreak/>
        <w:t>discapacidad, en igualdad de condiciones, a la información y a la comunicación, y en el artículo 13, establece el derecho a garantizar que las personas con discapacidad puedan ejercer funciones efectivas como participantes en todos los procedimientos judiciales. A su vez, las 100 Reglas de Brasilia sobre Acceso a la Justicia de las Personas en Condición de Vulnerabilidad (Cumbre Judicial Iberoamericana, 2008) amplían este marco sobre la protección al señalar que los poderes judiciales deben tener medidas qu</w:t>
      </w:r>
      <w:r>
        <w:rPr>
          <w:color w:val="000000"/>
          <w:sz w:val="24"/>
          <w:szCs w:val="24"/>
        </w:rPr>
        <w:t>e eliminen las barreras físicas, comunicativas y actitudinales que impidan el acceso efectivo a la justicia, disponiendo que las personas con discapacidad requieran ajustes razonables y apoyos específicos que garanticen su participación en condiciones de igualdad. Complementariamente, el Comité sobre los Derechos de las Personas con Discapacidad en la Convención sobre los Derechos de las Personas con Discapacidad de las Naciones Unidas, en la Observación General N.º 2 (2014) sobre la accesibilidad, enfatiza</w:t>
      </w:r>
      <w:r>
        <w:rPr>
          <w:color w:val="000000"/>
          <w:sz w:val="24"/>
          <w:szCs w:val="24"/>
        </w:rPr>
        <w:t xml:space="preserve"> que los Estados deben asegurar el acceso universal a la información, la comunicación y, en el entorno judicial, debe incorporar tecnologías accesibles y mecanismos de apoyo. De manera paralela, en la Observación General N.º 6 (2018), sobre la igualdad y la no discriminación, enfatiza que, al negarse ajustes razonables, constituye una forma de discriminación y los Estados tienen la obligación de garantizar medidas efectivas que aseguren el acceso a la justicia a las personas con discapacidad.</w:t>
      </w:r>
    </w:p>
    <w:p w14:paraId="0E8269FB" w14:textId="77777777" w:rsidR="001F72F2" w:rsidRDefault="001F72F2">
      <w:pPr>
        <w:pBdr>
          <w:top w:val="nil"/>
          <w:left w:val="nil"/>
          <w:bottom w:val="nil"/>
          <w:right w:val="nil"/>
          <w:between w:val="nil"/>
        </w:pBdr>
        <w:spacing w:before="1" w:line="360" w:lineRule="auto"/>
        <w:rPr>
          <w:color w:val="000000"/>
          <w:sz w:val="24"/>
          <w:szCs w:val="24"/>
        </w:rPr>
      </w:pPr>
    </w:p>
    <w:p w14:paraId="0E8269FC"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En cambio, en la práctica judicial peruana persisten limitaciones importantes como la inexistencia de un registro nacional de guías-intérpretes ni un financiamiento sostenible que garantice su presencia en todos los procesos judiciales, la estructura judicial que no cumple con estándares de accesibilidad universal y una falta de sensibilización institucional. Frente a esta situación, el Protocolo de Acceso a la Justicia de Personas con Discapacidad del Poder Judicial (2018) representa un avance normativo re</w:t>
      </w:r>
      <w:r>
        <w:rPr>
          <w:color w:val="000000"/>
          <w:sz w:val="24"/>
          <w:szCs w:val="24"/>
        </w:rPr>
        <w:t>levante al promover ajustes razonables y directrices para eliminar las barreras de los procesos judiciales, pero su aplicación práctica es limitada por la ausencia de recursos técnicos y presupuestales, quedando demostrado que aún no existe una justicia verdaderamente inclusiva para las personas con sordoceguera.</w:t>
      </w:r>
    </w:p>
    <w:p w14:paraId="0E8269FD" w14:textId="77777777" w:rsidR="001F72F2" w:rsidRDefault="001F72F2">
      <w:pPr>
        <w:pBdr>
          <w:top w:val="nil"/>
          <w:left w:val="nil"/>
          <w:bottom w:val="nil"/>
          <w:right w:val="nil"/>
          <w:between w:val="nil"/>
        </w:pBdr>
        <w:spacing w:before="2" w:line="360" w:lineRule="auto"/>
        <w:rPr>
          <w:color w:val="000000"/>
          <w:sz w:val="24"/>
          <w:szCs w:val="24"/>
        </w:rPr>
      </w:pPr>
    </w:p>
    <w:p w14:paraId="0E8269FE" w14:textId="77777777" w:rsidR="001F72F2" w:rsidRDefault="002719B2">
      <w:pPr>
        <w:pBdr>
          <w:top w:val="nil"/>
          <w:left w:val="nil"/>
          <w:bottom w:val="nil"/>
          <w:right w:val="nil"/>
          <w:between w:val="nil"/>
        </w:pBdr>
        <w:spacing w:line="360" w:lineRule="auto"/>
        <w:ind w:right="257"/>
        <w:rPr>
          <w:color w:val="000000"/>
          <w:sz w:val="24"/>
          <w:szCs w:val="24"/>
        </w:rPr>
      </w:pPr>
      <w:r>
        <w:rPr>
          <w:color w:val="000000"/>
          <w:sz w:val="24"/>
          <w:szCs w:val="24"/>
        </w:rPr>
        <w:t xml:space="preserve">En virtud de ello, la realidad de personas con sordoceguera revela que el acceso a la justicia en el Perú aún se mantiene como un derecho formal más que sustantivo, por </w:t>
      </w:r>
      <w:r>
        <w:rPr>
          <w:color w:val="000000"/>
          <w:sz w:val="24"/>
          <w:szCs w:val="24"/>
        </w:rPr>
        <w:lastRenderedPageBreak/>
        <w:t>lo que superar esas brechas no solo requiere de marco jurídico nacional e internacional, sino de políticas públicas sostenibles que prioricen la formación de guías-intérpretes, la accesibilidad tecnológica y el uso ético de herramientas de inteligencia artificial que permitan fortalecer la autonomía y participación efectiva para las personas con sordoceguera en los procesos judiciales.</w:t>
      </w:r>
    </w:p>
    <w:p w14:paraId="0E8269FF" w14:textId="77777777" w:rsidR="001F72F2" w:rsidRDefault="001F72F2">
      <w:pPr>
        <w:pBdr>
          <w:top w:val="nil"/>
          <w:left w:val="nil"/>
          <w:bottom w:val="nil"/>
          <w:right w:val="nil"/>
          <w:between w:val="nil"/>
        </w:pBdr>
        <w:spacing w:line="360" w:lineRule="auto"/>
        <w:ind w:right="257"/>
        <w:rPr>
          <w:sz w:val="24"/>
          <w:szCs w:val="24"/>
        </w:rPr>
      </w:pPr>
    </w:p>
    <w:p w14:paraId="0E826A00" w14:textId="77777777" w:rsidR="001F72F2" w:rsidRDefault="002719B2">
      <w:pPr>
        <w:pStyle w:val="Heading2"/>
        <w:numPr>
          <w:ilvl w:val="0"/>
          <w:numId w:val="2"/>
        </w:numPr>
        <w:tabs>
          <w:tab w:val="left" w:pos="979"/>
          <w:tab w:val="left" w:pos="981"/>
        </w:tabs>
        <w:rPr>
          <w:b w:val="0"/>
          <w:bCs w:val="0"/>
          <w:sz w:val="24"/>
          <w:szCs w:val="24"/>
        </w:rPr>
      </w:pPr>
      <w:r>
        <w:rPr>
          <w:b w:val="0"/>
          <w:bCs w:val="0"/>
          <w:sz w:val="24"/>
          <w:szCs w:val="24"/>
        </w:rPr>
        <w:t>El Protocolo de Acceso a la Justicia para Personas con Discapacidad: avances y limitaciones</w:t>
      </w:r>
    </w:p>
    <w:p w14:paraId="0E826A01" w14:textId="77777777" w:rsidR="001F72F2" w:rsidRDefault="001F72F2">
      <w:pPr>
        <w:tabs>
          <w:tab w:val="left" w:pos="979"/>
          <w:tab w:val="left" w:pos="981"/>
        </w:tabs>
      </w:pPr>
    </w:p>
    <w:p w14:paraId="0E826A02" w14:textId="77777777" w:rsidR="001F72F2" w:rsidRDefault="002719B2">
      <w:pPr>
        <w:pBdr>
          <w:top w:val="nil"/>
          <w:left w:val="nil"/>
          <w:bottom w:val="nil"/>
          <w:right w:val="nil"/>
          <w:between w:val="nil"/>
        </w:pBdr>
        <w:spacing w:before="1" w:line="360" w:lineRule="auto"/>
        <w:ind w:right="252"/>
        <w:rPr>
          <w:color w:val="000000"/>
          <w:sz w:val="24"/>
          <w:szCs w:val="24"/>
        </w:rPr>
      </w:pPr>
      <w:r>
        <w:rPr>
          <w:color w:val="000000"/>
          <w:sz w:val="24"/>
          <w:szCs w:val="24"/>
        </w:rPr>
        <w:t xml:space="preserve">El Protocolo de Acceso a la Justicia de Personas con Discapacidad es un documento pionero de la región cuyo fin es orientar a magistrados, auxiliares jurisdiccionales y personal administrativo sobre la identificación y diseño de enlaces para eliminarlas y facilitar a esa población el relacionamiento con el sistema judicial (Poder Judicial, 2018). Este es un documento que marca un avance normativo relevante, ya que entiende y acepta que el acceso a la justicia no se asegura solo mediante la formalidad de la </w:t>
      </w:r>
      <w:r>
        <w:rPr>
          <w:color w:val="000000"/>
          <w:sz w:val="24"/>
          <w:szCs w:val="24"/>
        </w:rPr>
        <w:t>igualdad, sino que hace necesarias adaptaciones razonables, apoyo específico y sensibilización institucional ante la pluralidad de condiciones.</w:t>
      </w:r>
    </w:p>
    <w:p w14:paraId="0E826A03" w14:textId="77777777" w:rsidR="001F72F2" w:rsidRDefault="002719B2">
      <w:pPr>
        <w:pBdr>
          <w:top w:val="nil"/>
          <w:left w:val="nil"/>
          <w:bottom w:val="nil"/>
          <w:right w:val="nil"/>
          <w:between w:val="nil"/>
        </w:pBdr>
        <w:spacing w:before="252" w:line="360" w:lineRule="auto"/>
        <w:ind w:right="258"/>
        <w:rPr>
          <w:color w:val="000000"/>
          <w:sz w:val="24"/>
          <w:szCs w:val="24"/>
        </w:rPr>
      </w:pPr>
      <w:r>
        <w:rPr>
          <w:color w:val="000000"/>
          <w:sz w:val="24"/>
          <w:szCs w:val="24"/>
        </w:rPr>
        <w:t xml:space="preserve">Entre los elementos más pertinentes del Protocolo se incluye la obligación de asegurar servicios de comunicación e interpretación accesibles, la estimulación al empleo de formatos informáticos comprensibles como el caso del braille, </w:t>
      </w:r>
      <w:proofErr w:type="spellStart"/>
      <w:r>
        <w:rPr>
          <w:color w:val="000000"/>
          <w:sz w:val="24"/>
          <w:szCs w:val="24"/>
        </w:rPr>
        <w:t>macrotipo</w:t>
      </w:r>
      <w:proofErr w:type="spellEnd"/>
      <w:r>
        <w:rPr>
          <w:color w:val="000000"/>
          <w:sz w:val="24"/>
          <w:szCs w:val="24"/>
        </w:rPr>
        <w:t>, lengua de señas y medios alternativos de comunicación, así como la adecuación física de las instalaciones judiciales para usuarios con movilidad reducida. En cuanto a la forma particular, el Protocolo destaca la necesidad de que el personal judicial actúe con empatía y respeto, evitando conductas discriminatorias y alentando la actuación activa de los justiciables con discapacidad en todas las etapas del proceso.</w:t>
      </w:r>
    </w:p>
    <w:p w14:paraId="0E826A04" w14:textId="77777777" w:rsidR="001F72F2" w:rsidRDefault="001F72F2">
      <w:pPr>
        <w:pBdr>
          <w:top w:val="nil"/>
          <w:left w:val="nil"/>
          <w:bottom w:val="nil"/>
          <w:right w:val="nil"/>
          <w:between w:val="nil"/>
        </w:pBdr>
        <w:spacing w:line="360" w:lineRule="auto"/>
        <w:rPr>
          <w:color w:val="000000"/>
          <w:sz w:val="24"/>
          <w:szCs w:val="24"/>
        </w:rPr>
      </w:pPr>
    </w:p>
    <w:p w14:paraId="0E826A05" w14:textId="77777777" w:rsidR="001F72F2" w:rsidRDefault="002719B2">
      <w:pPr>
        <w:pBdr>
          <w:top w:val="nil"/>
          <w:left w:val="nil"/>
          <w:bottom w:val="nil"/>
          <w:right w:val="nil"/>
          <w:between w:val="nil"/>
        </w:pBdr>
        <w:spacing w:line="360" w:lineRule="auto"/>
        <w:ind w:right="252"/>
        <w:rPr>
          <w:color w:val="000000"/>
          <w:sz w:val="24"/>
          <w:szCs w:val="24"/>
        </w:rPr>
      </w:pPr>
      <w:r>
        <w:rPr>
          <w:color w:val="000000"/>
          <w:sz w:val="24"/>
          <w:szCs w:val="24"/>
        </w:rPr>
        <w:t>No obstante, su implementación práctica que ha enfrentado el Protocolo son los obstáculos estructurales y presupuestales, como se puede evidenciar en el Informe Final de Cumplimiento de los Hitos 2024 del CONADIS, donde se señala que, a pesar de los esfuerzos del poder judicial, la ejecución de ajustes razonables continúa siendo limitada por la falta de recursos técnicos, capacitación especializada e infraestructura accesible en varios distritos judiciales (CONADIS, 2024). De manera similar, Avellaneda et a</w:t>
      </w:r>
      <w:r>
        <w:rPr>
          <w:color w:val="000000"/>
          <w:sz w:val="24"/>
          <w:szCs w:val="24"/>
        </w:rPr>
        <w:t xml:space="preserve">l. (2024) nos dice que en el contexto peruano los mecanismos </w:t>
      </w:r>
      <w:r>
        <w:rPr>
          <w:color w:val="000000"/>
          <w:sz w:val="24"/>
          <w:szCs w:val="24"/>
        </w:rPr>
        <w:lastRenderedPageBreak/>
        <w:t xml:space="preserve">legales y reglamentarios concebidos para que se garantice el acceso a la justicia a las personas con discapacidad resultan en gran medida insuficientes, donde las entidades estatales de manera frecuente operan con limitaciones logísticas, presupuestales y de personal, lo que impide la implementación efectiva de ajustes razonables, poniendo en evidencia que la norma por sí sola no basta, sino que debe estar acompañada de reformas institucionales y </w:t>
      </w:r>
      <w:r>
        <w:rPr>
          <w:color w:val="000000"/>
          <w:sz w:val="24"/>
          <w:szCs w:val="24"/>
        </w:rPr>
        <w:t>operativas que materialicen una buena accesibilidad a la justicia jurídica, comunicativa y física.</w:t>
      </w:r>
    </w:p>
    <w:p w14:paraId="0E826A06" w14:textId="77777777" w:rsidR="001F72F2" w:rsidRDefault="001F72F2">
      <w:pPr>
        <w:pBdr>
          <w:top w:val="nil"/>
          <w:left w:val="nil"/>
          <w:bottom w:val="nil"/>
          <w:right w:val="nil"/>
          <w:between w:val="nil"/>
        </w:pBdr>
        <w:spacing w:before="2" w:line="360" w:lineRule="auto"/>
        <w:rPr>
          <w:color w:val="000000"/>
          <w:sz w:val="24"/>
          <w:szCs w:val="24"/>
        </w:rPr>
      </w:pPr>
    </w:p>
    <w:p w14:paraId="0E826A07"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Asimismo, otro reto pendiente es la escasa capacitación del personal jurisdiccional respecto a la normativa nacional e internacional sobre discapacidad; si bien el Protocolo establece la obligación de formación en derechos humanos e inclusión, en la práctica aún existe desconocimiento generalizado sobre los derechos de las personas con discapacidad y los mecanismos para garantizar su acceso efectivo a la justicia para garantizar una legítima inclusión jurídica colectiva (Seminario y Torres, 2025).</w:t>
      </w:r>
    </w:p>
    <w:p w14:paraId="0E826A08" w14:textId="77777777" w:rsidR="001F72F2" w:rsidRDefault="001F72F2">
      <w:pPr>
        <w:pBdr>
          <w:top w:val="nil"/>
          <w:left w:val="nil"/>
          <w:bottom w:val="nil"/>
          <w:right w:val="nil"/>
          <w:between w:val="nil"/>
        </w:pBdr>
        <w:spacing w:line="360" w:lineRule="auto"/>
        <w:rPr>
          <w:color w:val="000000"/>
          <w:sz w:val="24"/>
          <w:szCs w:val="24"/>
        </w:rPr>
      </w:pPr>
    </w:p>
    <w:p w14:paraId="0E826A09" w14:textId="77777777" w:rsidR="001F72F2" w:rsidRDefault="002719B2">
      <w:pPr>
        <w:pBdr>
          <w:top w:val="nil"/>
          <w:left w:val="nil"/>
          <w:bottom w:val="nil"/>
          <w:right w:val="nil"/>
          <w:between w:val="nil"/>
        </w:pBdr>
        <w:spacing w:before="1" w:line="360" w:lineRule="auto"/>
        <w:ind w:right="254"/>
        <w:rPr>
          <w:color w:val="000000"/>
          <w:sz w:val="24"/>
          <w:szCs w:val="24"/>
        </w:rPr>
      </w:pPr>
      <w:r>
        <w:rPr>
          <w:color w:val="000000"/>
          <w:sz w:val="24"/>
          <w:szCs w:val="24"/>
        </w:rPr>
        <w:t>En el plano internacional, las 100 reglas de Brasilia promulgadas en el 2008 complementan el espíritu del Protocolo al exigir que el sistema judicial adopte medidas efectivas que garanticen la participación igualitaria de personas con discapacidad, pero su cumplimiento en el Perú enfrenta desafíos como el fortalecimiento institucional y la innovación tecnológica como ejes de transformación (Cumbre Judicial Iberoamericana, 2008).</w:t>
      </w:r>
    </w:p>
    <w:p w14:paraId="0E826A0A" w14:textId="77777777" w:rsidR="001F72F2" w:rsidRDefault="002719B2">
      <w:pPr>
        <w:pBdr>
          <w:top w:val="nil"/>
          <w:left w:val="nil"/>
          <w:bottom w:val="nil"/>
          <w:right w:val="nil"/>
          <w:between w:val="nil"/>
        </w:pBdr>
        <w:spacing w:before="251" w:line="360" w:lineRule="auto"/>
        <w:ind w:right="255"/>
        <w:rPr>
          <w:color w:val="000000"/>
          <w:sz w:val="24"/>
          <w:szCs w:val="24"/>
        </w:rPr>
      </w:pPr>
      <w:r>
        <w:rPr>
          <w:color w:val="000000"/>
          <w:sz w:val="24"/>
          <w:szCs w:val="24"/>
        </w:rPr>
        <w:t>En consecuencia, el Protocolo debe entenderse como un primer paso en la construcción de una justicia inclusiva en el Perú, donde su valor radica en sentar las bases para transformar la administración de justicia hacia un modelo accesible y respetuoso de la diversidad, pero su eficacia depende de la implementación de políticas públicas sostenibles, la asignación de recursos y la integración de nuevas herramientas tecnológicas, como la inteligencia artificial, y sin estos elementos, corre el riesgo de convert</w:t>
      </w:r>
      <w:r>
        <w:rPr>
          <w:color w:val="000000"/>
          <w:sz w:val="24"/>
          <w:szCs w:val="24"/>
        </w:rPr>
        <w:t>irse en un documento declarativo más que en un instrumento de cambio real.</w:t>
      </w:r>
    </w:p>
    <w:p w14:paraId="0E826A0B" w14:textId="77777777" w:rsidR="001F72F2" w:rsidRDefault="001F72F2">
      <w:pPr>
        <w:pBdr>
          <w:top w:val="nil"/>
          <w:left w:val="nil"/>
          <w:bottom w:val="nil"/>
          <w:right w:val="nil"/>
          <w:between w:val="nil"/>
        </w:pBdr>
        <w:spacing w:before="251" w:line="360" w:lineRule="auto"/>
        <w:ind w:right="255"/>
        <w:rPr>
          <w:sz w:val="24"/>
          <w:szCs w:val="24"/>
        </w:rPr>
      </w:pPr>
    </w:p>
    <w:p w14:paraId="0E826A0C" w14:textId="77777777" w:rsidR="001F72F2" w:rsidRDefault="001F72F2">
      <w:pPr>
        <w:pBdr>
          <w:top w:val="nil"/>
          <w:left w:val="nil"/>
          <w:bottom w:val="nil"/>
          <w:right w:val="nil"/>
          <w:between w:val="nil"/>
        </w:pBdr>
        <w:spacing w:before="3" w:line="360" w:lineRule="auto"/>
        <w:rPr>
          <w:color w:val="000000"/>
          <w:sz w:val="24"/>
          <w:szCs w:val="24"/>
        </w:rPr>
      </w:pPr>
    </w:p>
    <w:p w14:paraId="0E826A0D" w14:textId="77777777" w:rsidR="001F72F2" w:rsidRDefault="002719B2">
      <w:pPr>
        <w:pStyle w:val="Heading2"/>
        <w:numPr>
          <w:ilvl w:val="0"/>
          <w:numId w:val="2"/>
        </w:numPr>
        <w:tabs>
          <w:tab w:val="left" w:pos="979"/>
        </w:tabs>
        <w:rPr>
          <w:b w:val="0"/>
          <w:bCs w:val="0"/>
          <w:sz w:val="24"/>
          <w:szCs w:val="24"/>
        </w:rPr>
      </w:pPr>
      <w:r>
        <w:rPr>
          <w:b w:val="0"/>
          <w:bCs w:val="0"/>
          <w:sz w:val="24"/>
          <w:szCs w:val="24"/>
        </w:rPr>
        <w:lastRenderedPageBreak/>
        <w:t>La inteligencia artificial como herramienta de inclusión judicial</w:t>
      </w:r>
    </w:p>
    <w:p w14:paraId="0E826A0E" w14:textId="77777777" w:rsidR="001F72F2" w:rsidRDefault="001F72F2">
      <w:pPr>
        <w:tabs>
          <w:tab w:val="left" w:pos="979"/>
        </w:tabs>
        <w:ind w:left="262"/>
      </w:pPr>
    </w:p>
    <w:p w14:paraId="0E826A0F"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La inteligencia artificial se ha consolidado como una de las innovaciones tecnológicas con mayor potencial para transformar los sistemas de justicia en el mundo. En el ámbito de la inclusión, la inteligencia artificial ofrece herramientas que pueden contribuir a superar barreras históricas que enfrentan las personas con discapacidad, entre ellas las personas con sordoceguera, facilitando la comunicación, el acceso a la información y la interacción con los procesos judiciales, como por ejemplo tecnologías co</w:t>
      </w:r>
      <w:r>
        <w:rPr>
          <w:color w:val="000000"/>
          <w:sz w:val="24"/>
          <w:szCs w:val="24"/>
        </w:rPr>
        <w:t>mo los sistemas de reconocimiento de voz, los traductores automáticos, los lectores de pantalla inteligentes y las aplicaciones de comunicación táctil permiten diseñar entornos judiciales más accesibles y equitativos (Russell y Norvig, 2021).</w:t>
      </w:r>
    </w:p>
    <w:p w14:paraId="0E826A10" w14:textId="77777777" w:rsidR="001F72F2" w:rsidRDefault="001F72F2">
      <w:pPr>
        <w:pBdr>
          <w:top w:val="nil"/>
          <w:left w:val="nil"/>
          <w:bottom w:val="nil"/>
          <w:right w:val="nil"/>
          <w:between w:val="nil"/>
        </w:pBdr>
        <w:spacing w:before="2" w:line="360" w:lineRule="auto"/>
        <w:rPr>
          <w:color w:val="000000"/>
          <w:sz w:val="24"/>
          <w:szCs w:val="24"/>
        </w:rPr>
      </w:pPr>
    </w:p>
    <w:p w14:paraId="0E826A11"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En el Perú, la regulación de la inteligencia artificial ha dado un paso significativo con la aprobación de la Ley Nro. 31814, Ley que promueve el uso de la inteligencia artificial para el desarrollo económico y social del Perú, mediante la cual, como lo señala su mismo nombre, es el preámbulo para el uso de la inteligencia artificial en nuestro país. En el Decreto Supremo Nro. 115-2025-PCM del año 2025, aprueban su reglamento, donde se establecen principios orientadores como la ética, la transparencia, la e</w:t>
      </w:r>
      <w:r>
        <w:rPr>
          <w:color w:val="000000"/>
          <w:sz w:val="24"/>
          <w:szCs w:val="24"/>
        </w:rPr>
        <w:t>quidad y el respeto de los derechos fundamentales, y se desarrolla de manera expresa la necesidad de proteger a los grupos en situación de vulnerabilidad. En particular, el artículo 12 del reglamento dispone que el desarrollo y uso de la inteligencia artificial debe garantizar la protección de dichos grupos, evitando que las nuevas tecnologías generen exclusión o discriminación (Presidencia de la República, 2025). Por esto, esta disposición conecta directamente con el desafío de garantizar el acceso a la ju</w:t>
      </w:r>
      <w:r>
        <w:rPr>
          <w:color w:val="000000"/>
          <w:sz w:val="24"/>
          <w:szCs w:val="24"/>
        </w:rPr>
        <w:t>sticia de las personas con sordoceguera, en tanto obliga al Estado y a las instituciones a diseñar soluciones tecnológicas que respondan a sus necesidades específicas.</w:t>
      </w:r>
    </w:p>
    <w:p w14:paraId="0E826A12" w14:textId="77777777" w:rsidR="001F72F2" w:rsidRDefault="001F72F2">
      <w:pPr>
        <w:pBdr>
          <w:top w:val="nil"/>
          <w:left w:val="nil"/>
          <w:bottom w:val="nil"/>
          <w:right w:val="nil"/>
          <w:between w:val="nil"/>
        </w:pBdr>
        <w:spacing w:line="360" w:lineRule="auto"/>
        <w:rPr>
          <w:color w:val="000000"/>
          <w:sz w:val="24"/>
          <w:szCs w:val="24"/>
        </w:rPr>
      </w:pPr>
    </w:p>
    <w:p w14:paraId="0E826A13"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 xml:space="preserve">El potencial de la inteligencia artificial para la inclusión judicial es amplio; por ejemplo, mediante algoritmos de procesamiento de lenguaje natural se podrían generar transcripciones automáticas accesibles en braille digital o en sistemas táctiles para personas sordociegas. Seguidamente, Medina et al. (2025) nos dice que la inteligencia artificial puede emplearse para convertir documentos y registros </w:t>
      </w:r>
      <w:r>
        <w:rPr>
          <w:color w:val="000000"/>
          <w:sz w:val="24"/>
          <w:szCs w:val="24"/>
        </w:rPr>
        <w:lastRenderedPageBreak/>
        <w:t xml:space="preserve">judiciales en formatos accesibles; Pérez-Aguirre et al. (2024) refiere que desarrollaron un sistema de comunicación bidireccional entre voz y braille táctil, evidenciando la viabilidad técnica de aplicar estos mecanismos en el poder judicial peruano, y </w:t>
      </w:r>
      <w:proofErr w:type="spellStart"/>
      <w:r>
        <w:rPr>
          <w:color w:val="000000"/>
          <w:sz w:val="24"/>
          <w:szCs w:val="24"/>
        </w:rPr>
        <w:t>Chemnad</w:t>
      </w:r>
      <w:proofErr w:type="spellEnd"/>
      <w:r>
        <w:rPr>
          <w:color w:val="000000"/>
          <w:sz w:val="24"/>
          <w:szCs w:val="24"/>
        </w:rPr>
        <w:t xml:space="preserve"> y Othman (2024) sostienen la idea de que la tecnología accesible impulsada por inteligencia artificial, como los lectores inteligentes y traductores automáticos, es esencial para garantizar una participación plena de las personas con discapacidad visu</w:t>
      </w:r>
      <w:r>
        <w:rPr>
          <w:color w:val="000000"/>
          <w:sz w:val="24"/>
          <w:szCs w:val="24"/>
        </w:rPr>
        <w:t>al y auditiva en los entornos digitales. Bajo esta perspectiva, los sistemas de traducción asistida e interpretación visual que están apoyados con inteligencia artificial podrán facilitar la comunicación entre jueces, abogados y personas sordociegas, mientras que las plataformas procesales digitales podrán adaptarse para enviar notificaciones accesibles y personalizadas, haciendo que se reduzca la dependencia de terceros y promoviendo una verdadera justicia inclusiva.</w:t>
      </w:r>
    </w:p>
    <w:p w14:paraId="0E826A14" w14:textId="77777777" w:rsidR="001F72F2" w:rsidRDefault="001F72F2">
      <w:pPr>
        <w:pBdr>
          <w:top w:val="nil"/>
          <w:left w:val="nil"/>
          <w:bottom w:val="nil"/>
          <w:right w:val="nil"/>
          <w:between w:val="nil"/>
        </w:pBdr>
        <w:spacing w:before="1" w:line="360" w:lineRule="auto"/>
        <w:rPr>
          <w:color w:val="000000"/>
          <w:sz w:val="24"/>
          <w:szCs w:val="24"/>
        </w:rPr>
      </w:pPr>
    </w:p>
    <w:p w14:paraId="0E826A15"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No obstante, el uso de la inteligencia artificial en este ámbito no debe entenderse de manera única como un esfuerzo de modernización tecnológica, sino como la obligación ética, jurídica y social que tiene el Estado peruano, donde dicha obligación deriva de los compromisos internacionales asumidos por el Perú, especialmente en la Convención sobre los Derechos de las Personas con Discapacidad (2006), que impone a los Estados el deber de respetar, proteger, garantizar y promover los derechos de las personas c</w:t>
      </w:r>
      <w:r>
        <w:rPr>
          <w:color w:val="000000"/>
          <w:sz w:val="24"/>
          <w:szCs w:val="24"/>
        </w:rPr>
        <w:t>on discapacidad en todos los ámbitos públicos. En consecuencia, el Estado debe adoptar medidas de inclusión por medio de la inteligencia artificial, asegurando herramientas estratégicas que permitirán reducir la brecha entre la igualdad formal y la igualdad real, fortaleciendo así el principio de justicia inclusiva y garantizando que el poder judicial sea accesible para todas las personas, incluidas las personas con sordoceguera.</w:t>
      </w:r>
    </w:p>
    <w:p w14:paraId="0E826A16" w14:textId="77777777" w:rsidR="001F72F2" w:rsidRDefault="001F72F2">
      <w:pPr>
        <w:pBdr>
          <w:top w:val="nil"/>
          <w:left w:val="nil"/>
          <w:bottom w:val="nil"/>
          <w:right w:val="nil"/>
          <w:between w:val="nil"/>
        </w:pBdr>
        <w:spacing w:before="1" w:line="360" w:lineRule="auto"/>
        <w:rPr>
          <w:color w:val="000000"/>
          <w:sz w:val="24"/>
          <w:szCs w:val="24"/>
        </w:rPr>
      </w:pPr>
    </w:p>
    <w:p w14:paraId="0E826A17" w14:textId="77777777" w:rsidR="001F72F2" w:rsidRDefault="002719B2">
      <w:pPr>
        <w:pStyle w:val="Heading2"/>
        <w:numPr>
          <w:ilvl w:val="0"/>
          <w:numId w:val="2"/>
        </w:numPr>
        <w:tabs>
          <w:tab w:val="left" w:pos="979"/>
        </w:tabs>
        <w:rPr>
          <w:b w:val="0"/>
          <w:bCs w:val="0"/>
          <w:sz w:val="24"/>
          <w:szCs w:val="24"/>
        </w:rPr>
      </w:pPr>
      <w:r>
        <w:rPr>
          <w:b w:val="0"/>
          <w:bCs w:val="0"/>
          <w:sz w:val="24"/>
          <w:szCs w:val="24"/>
        </w:rPr>
        <w:t>Retos éticos y prácticos en la implementación de la inteligencia artificial</w:t>
      </w:r>
    </w:p>
    <w:p w14:paraId="0E826A18" w14:textId="77777777" w:rsidR="001F72F2" w:rsidRDefault="001F72F2">
      <w:pPr>
        <w:tabs>
          <w:tab w:val="left" w:pos="979"/>
        </w:tabs>
        <w:ind w:left="262"/>
      </w:pPr>
    </w:p>
    <w:p w14:paraId="0E826A19" w14:textId="77777777" w:rsidR="001F72F2" w:rsidRDefault="002719B2">
      <w:pPr>
        <w:pBdr>
          <w:top w:val="nil"/>
          <w:left w:val="nil"/>
          <w:bottom w:val="nil"/>
          <w:right w:val="nil"/>
          <w:between w:val="nil"/>
        </w:pBdr>
        <w:spacing w:line="360" w:lineRule="auto"/>
        <w:ind w:right="257"/>
        <w:rPr>
          <w:color w:val="000000"/>
          <w:sz w:val="24"/>
          <w:szCs w:val="24"/>
        </w:rPr>
      </w:pPr>
      <w:r>
        <w:rPr>
          <w:color w:val="000000"/>
          <w:sz w:val="24"/>
          <w:szCs w:val="24"/>
        </w:rPr>
        <w:t xml:space="preserve">Si bien la inteligencia artificial tiene un vasto potencial para respaldar la inclusión judicial, su implementación plantea importantes problemas éticos y prácticos que deben abordarse con cuidado; uno de los riesgos más significativos es la replicación de sesgos algorítmicos, ya que los sistemas de inteligencia artificial aprenden de los datos que se les suministran y, si estos datos son prejuiciosos o históricamente </w:t>
      </w:r>
      <w:r>
        <w:rPr>
          <w:color w:val="000000"/>
          <w:sz w:val="24"/>
          <w:szCs w:val="24"/>
        </w:rPr>
        <w:lastRenderedPageBreak/>
        <w:t>limitados, pueden reproducir patrones de exclusión para las personas con discapacidad (</w:t>
      </w:r>
      <w:proofErr w:type="spellStart"/>
      <w:r>
        <w:rPr>
          <w:color w:val="000000"/>
          <w:sz w:val="24"/>
          <w:szCs w:val="24"/>
        </w:rPr>
        <w:t>Kordzadeh</w:t>
      </w:r>
      <w:proofErr w:type="spellEnd"/>
      <w:r>
        <w:rPr>
          <w:color w:val="000000"/>
          <w:sz w:val="24"/>
          <w:szCs w:val="24"/>
        </w:rPr>
        <w:t xml:space="preserve"> y </w:t>
      </w:r>
      <w:proofErr w:type="spellStart"/>
      <w:r>
        <w:rPr>
          <w:color w:val="000000"/>
          <w:sz w:val="24"/>
          <w:szCs w:val="24"/>
        </w:rPr>
        <w:t>Ghasemaghaei</w:t>
      </w:r>
      <w:proofErr w:type="spellEnd"/>
      <w:r>
        <w:rPr>
          <w:color w:val="000000"/>
          <w:sz w:val="24"/>
          <w:szCs w:val="24"/>
        </w:rPr>
        <w:t>, 2022). De forma complementaria, Teixeira et al. (2022) advierten que la transformación digital del sistema judicial solo resulta legítima si se orienta por principios de inclusión, accesibilidad y equidad, evitando que las innovaciones tecnológicas reproduzcan las desigualdades históricas presentes en el ámbito judicial.</w:t>
      </w:r>
    </w:p>
    <w:p w14:paraId="0E826A1A" w14:textId="77777777" w:rsidR="001F72F2" w:rsidRDefault="001F72F2">
      <w:pPr>
        <w:pBdr>
          <w:top w:val="nil"/>
          <w:left w:val="nil"/>
          <w:bottom w:val="nil"/>
          <w:right w:val="nil"/>
          <w:between w:val="nil"/>
        </w:pBdr>
        <w:spacing w:before="2" w:line="360" w:lineRule="auto"/>
        <w:rPr>
          <w:color w:val="000000"/>
          <w:sz w:val="24"/>
          <w:szCs w:val="24"/>
        </w:rPr>
      </w:pPr>
    </w:p>
    <w:p w14:paraId="0E826A1B"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A su vez, otro reto ético es el de garantizar la protección a la autonomía y privacidad de usuarios. Los usuarios con discapacidad, al interactuar con sistemas tecnológicos del contexto judicial, comparten datos confidenciales que necesitan ser protegidos, y el mal uso de datos biométricos puede infringir el derecho a la intimidad, jurídicamente amparado en el artículo 2 de la Constitución Política del Perú. Junto con ello, hay una posible dependencia de la sociedad respecto de la tecnología, lo que puede d</w:t>
      </w:r>
      <w:r>
        <w:rPr>
          <w:color w:val="000000"/>
          <w:sz w:val="24"/>
          <w:szCs w:val="24"/>
        </w:rPr>
        <w:t>esalentar el fortalecimiento de apoyo humano, como la capacitación de guías-intérpretes especializados para personas sordociegas.</w:t>
      </w:r>
    </w:p>
    <w:p w14:paraId="0E826A1C" w14:textId="77777777" w:rsidR="001F72F2" w:rsidRDefault="002719B2">
      <w:pPr>
        <w:pBdr>
          <w:top w:val="nil"/>
          <w:left w:val="nil"/>
          <w:bottom w:val="nil"/>
          <w:right w:val="nil"/>
          <w:between w:val="nil"/>
        </w:pBdr>
        <w:spacing w:before="252" w:line="360" w:lineRule="auto"/>
        <w:ind w:right="254"/>
        <w:rPr>
          <w:color w:val="000000"/>
          <w:sz w:val="24"/>
          <w:szCs w:val="24"/>
        </w:rPr>
      </w:pPr>
      <w:r>
        <w:rPr>
          <w:color w:val="000000"/>
          <w:sz w:val="24"/>
          <w:szCs w:val="24"/>
        </w:rPr>
        <w:t>Desde el perfil práctico, uno de los mayores tratamientos es la carencia de recursos económicos y técnicos. La incorporación de soluciones fundadas sobre inteligencia artificial impone gastos sobre infraestructura digital, conectividad y personal altamente capacitado, componentes que no siempre se encuentran accesibles en los varios distritos judiciales del país, lo que puede ahondar las desigualdades entre las provincias urbanas y rurales y, así, incidir de manera hondamente diferencial sobre sujetos con d</w:t>
      </w:r>
      <w:r>
        <w:rPr>
          <w:color w:val="000000"/>
          <w:sz w:val="24"/>
          <w:szCs w:val="24"/>
        </w:rPr>
        <w:t>iscapacidad cuando estos se encuentran situados, adicionalmente, sobre grupos de mayor vulnerabilidad.</w:t>
      </w:r>
    </w:p>
    <w:p w14:paraId="0E826A1D" w14:textId="77777777" w:rsidR="001F72F2" w:rsidRDefault="001F72F2">
      <w:pPr>
        <w:pBdr>
          <w:top w:val="nil"/>
          <w:left w:val="nil"/>
          <w:bottom w:val="nil"/>
          <w:right w:val="nil"/>
          <w:between w:val="nil"/>
        </w:pBdr>
        <w:spacing w:before="1" w:line="360" w:lineRule="auto"/>
        <w:rPr>
          <w:color w:val="000000"/>
          <w:sz w:val="24"/>
          <w:szCs w:val="24"/>
        </w:rPr>
      </w:pPr>
    </w:p>
    <w:p w14:paraId="0E826A1E" w14:textId="77777777" w:rsidR="001F72F2" w:rsidRDefault="002719B2">
      <w:pPr>
        <w:pBdr>
          <w:top w:val="nil"/>
          <w:left w:val="nil"/>
          <w:bottom w:val="nil"/>
          <w:right w:val="nil"/>
          <w:between w:val="nil"/>
        </w:pBdr>
        <w:spacing w:before="1" w:line="360" w:lineRule="auto"/>
        <w:ind w:right="255"/>
        <w:rPr>
          <w:color w:val="000000"/>
          <w:sz w:val="24"/>
          <w:szCs w:val="24"/>
        </w:rPr>
      </w:pPr>
      <w:r>
        <w:rPr>
          <w:color w:val="000000"/>
          <w:sz w:val="24"/>
          <w:szCs w:val="24"/>
        </w:rPr>
        <w:t>La Ley Nro. 31814 y su Reglamento son un marco normativo relevante para asumir estos desafíos, al que establecen la obligación de asegurar que el desarrollo de la inteligencia artificial se efectúe con bases de equidad, transparencia y protección a grupos vulnerables. Pero el desafío radica en trasladar estas previsiones al nivel operativo, evitando que queden reducidas a nivel mero declarativo, y eso requiere políticas claras a nivel público, mecanismos de supervisión eficaces y una coordinación interinsti</w:t>
      </w:r>
      <w:r>
        <w:rPr>
          <w:color w:val="000000"/>
          <w:sz w:val="24"/>
          <w:szCs w:val="24"/>
        </w:rPr>
        <w:t>tucional que implique al Poder Judicial, al Ministerio de Justicia y al CONADIS.</w:t>
      </w:r>
    </w:p>
    <w:p w14:paraId="0E826A1F" w14:textId="77777777" w:rsidR="001F72F2" w:rsidRDefault="002719B2">
      <w:pPr>
        <w:pBdr>
          <w:top w:val="nil"/>
          <w:left w:val="nil"/>
          <w:bottom w:val="nil"/>
          <w:right w:val="nil"/>
          <w:between w:val="nil"/>
        </w:pBdr>
        <w:spacing w:before="252" w:line="360" w:lineRule="auto"/>
        <w:ind w:right="253"/>
        <w:rPr>
          <w:color w:val="000000"/>
          <w:sz w:val="24"/>
          <w:szCs w:val="24"/>
        </w:rPr>
      </w:pPr>
      <w:r>
        <w:rPr>
          <w:color w:val="000000"/>
          <w:sz w:val="24"/>
          <w:szCs w:val="24"/>
        </w:rPr>
        <w:lastRenderedPageBreak/>
        <w:t xml:space="preserve">Finalmente, va uno prendiendo cuenta de la faceta ética de la implementación de la inteligencia artificial en el sistema judicial, cuando el principio de la dignidad del ser humano le impone al desarrollo de la tecnología que no sustituya la relación esencialmente humana de los procesos de la justicia, sino que la releve y la fortalezca. En ese sentido, </w:t>
      </w:r>
      <w:proofErr w:type="spellStart"/>
      <w:r>
        <w:rPr>
          <w:color w:val="000000"/>
          <w:sz w:val="24"/>
          <w:szCs w:val="24"/>
        </w:rPr>
        <w:t>Floridi</w:t>
      </w:r>
      <w:proofErr w:type="spellEnd"/>
      <w:r>
        <w:rPr>
          <w:color w:val="000000"/>
          <w:sz w:val="24"/>
          <w:szCs w:val="24"/>
        </w:rPr>
        <w:t xml:space="preserve"> et al. (2020) sostienen que la inteligencia artificial debe orientarse hacia el respeto de la agencia moral y la autonomía de las personas, sirviendo como un medio para ampliar las capacidades humanas, mas no sustituirlas. Por su parte, la UNESCO (2022) destaca que el desarrollo de la inteligencia artificial debe fundarse en principios de justicia y respeto a la dignidad humana. En este sentido, la inteligencia artificial debe concebirse como una herramienta de apoyo que facilite la comunicación, la</w:t>
      </w:r>
      <w:r>
        <w:rPr>
          <w:color w:val="000000"/>
          <w:sz w:val="24"/>
          <w:szCs w:val="24"/>
        </w:rPr>
        <w:t xml:space="preserve"> accesibilidad y la equidad, sin desplazar la intervención humana en los aspectos sustantivos de la justicia, haciendo que solo bajo este enfoque se podrá garantizar que la innovación tecnológica sirva como un verdadero instrumento de inclusión y no como un nuevo factor de exclusión.</w:t>
      </w:r>
    </w:p>
    <w:p w14:paraId="0E826A20" w14:textId="77777777" w:rsidR="001F72F2" w:rsidRDefault="001F72F2">
      <w:pPr>
        <w:pBdr>
          <w:top w:val="nil"/>
          <w:left w:val="nil"/>
          <w:bottom w:val="nil"/>
          <w:right w:val="nil"/>
          <w:between w:val="nil"/>
        </w:pBdr>
        <w:spacing w:before="2" w:line="360" w:lineRule="auto"/>
        <w:rPr>
          <w:color w:val="000000"/>
          <w:sz w:val="24"/>
          <w:szCs w:val="24"/>
        </w:rPr>
      </w:pPr>
    </w:p>
    <w:p w14:paraId="0E826A21" w14:textId="77777777" w:rsidR="001F72F2" w:rsidRDefault="002719B2">
      <w:pPr>
        <w:pStyle w:val="Heading2"/>
        <w:numPr>
          <w:ilvl w:val="0"/>
          <w:numId w:val="2"/>
        </w:numPr>
        <w:tabs>
          <w:tab w:val="left" w:pos="979"/>
        </w:tabs>
        <w:rPr>
          <w:b w:val="0"/>
          <w:bCs w:val="0"/>
          <w:sz w:val="24"/>
          <w:szCs w:val="24"/>
        </w:rPr>
      </w:pPr>
      <w:r>
        <w:rPr>
          <w:b w:val="0"/>
          <w:bCs w:val="0"/>
          <w:sz w:val="24"/>
          <w:szCs w:val="24"/>
        </w:rPr>
        <w:t>Propuestas para una justicia inclusiva en el Perú</w:t>
      </w:r>
    </w:p>
    <w:p w14:paraId="0E826A22" w14:textId="77777777" w:rsidR="001F72F2" w:rsidRDefault="001F72F2">
      <w:pPr>
        <w:tabs>
          <w:tab w:val="left" w:pos="979"/>
        </w:tabs>
        <w:ind w:left="262"/>
      </w:pPr>
    </w:p>
    <w:p w14:paraId="0E826A23" w14:textId="77777777" w:rsidR="001F72F2" w:rsidRDefault="002719B2">
      <w:pPr>
        <w:pBdr>
          <w:top w:val="nil"/>
          <w:left w:val="nil"/>
          <w:bottom w:val="nil"/>
          <w:right w:val="nil"/>
          <w:between w:val="nil"/>
        </w:pBdr>
        <w:spacing w:line="360" w:lineRule="auto"/>
        <w:ind w:right="252"/>
        <w:rPr>
          <w:color w:val="000000"/>
          <w:sz w:val="24"/>
          <w:szCs w:val="24"/>
        </w:rPr>
      </w:pPr>
      <w:r>
        <w:rPr>
          <w:color w:val="000000"/>
          <w:sz w:val="24"/>
          <w:szCs w:val="24"/>
        </w:rPr>
        <w:t xml:space="preserve">La construcción de un sistema judicial inclusivo en el Perú exige no </w:t>
      </w:r>
      <w:r>
        <w:rPr>
          <w:sz w:val="24"/>
          <w:szCs w:val="24"/>
        </w:rPr>
        <w:t>sólo</w:t>
      </w:r>
      <w:r>
        <w:rPr>
          <w:color w:val="000000"/>
          <w:sz w:val="24"/>
          <w:szCs w:val="24"/>
        </w:rPr>
        <w:t xml:space="preserve"> el reconocimiento formal de los derechos de las personas con discapacidad, sino también la implementación de medidas efectivas que hagan realidad el principio de igualdad; en el caso de las personas con sordoceguera, la superación de barreras comunicativas y procedimentales requiere un enfoque integral que combine acciones normativas, institucionales y tecnológicas.</w:t>
      </w:r>
    </w:p>
    <w:p w14:paraId="0E826A24" w14:textId="77777777" w:rsidR="001F72F2" w:rsidRDefault="001F72F2">
      <w:pPr>
        <w:pBdr>
          <w:top w:val="nil"/>
          <w:left w:val="nil"/>
          <w:bottom w:val="nil"/>
          <w:right w:val="nil"/>
          <w:between w:val="nil"/>
        </w:pBdr>
        <w:spacing w:before="2" w:line="360" w:lineRule="auto"/>
        <w:rPr>
          <w:color w:val="000000"/>
          <w:sz w:val="24"/>
          <w:szCs w:val="24"/>
        </w:rPr>
      </w:pPr>
    </w:p>
    <w:p w14:paraId="0E826A25"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En primer lugar, resulta imprescindible el deber de fortalecer la formación y disponibilidad de guías-intérpretes que sean especializados en sordoceguera; si bien la ley Nro. 29524 reconoce este servicio como un derecho; su cobertura en la práctica sigue siendo limitada y concentrada en las principales ciudades del país. En España, la formación de guías- intérpretes ha sido institucionalizada mediante programas públicos que demuestran la profesionalización de este servicio para poder garantizar una comunica</w:t>
      </w:r>
      <w:r>
        <w:rPr>
          <w:color w:val="000000"/>
          <w:sz w:val="24"/>
          <w:szCs w:val="24"/>
        </w:rPr>
        <w:t xml:space="preserve">ción efectiva y un acceso real a la justicia a las personas con sordoceguera (Jiménez y Huete, 2010). Por ello, el Estado peruano debería dar un impulso a programas nacionales de formación técnica y profesional para intérpretes en coordinación con universidades y organizaciones de la sociedad, para </w:t>
      </w:r>
      <w:r>
        <w:rPr>
          <w:color w:val="000000"/>
          <w:sz w:val="24"/>
          <w:szCs w:val="24"/>
        </w:rPr>
        <w:lastRenderedPageBreak/>
        <w:t>asegurar su presencia en todas las sedes judiciales del territorio nacional.</w:t>
      </w:r>
    </w:p>
    <w:p w14:paraId="0E826A26" w14:textId="77777777" w:rsidR="001F72F2" w:rsidRDefault="002719B2">
      <w:pPr>
        <w:pBdr>
          <w:top w:val="nil"/>
          <w:left w:val="nil"/>
          <w:bottom w:val="nil"/>
          <w:right w:val="nil"/>
          <w:between w:val="nil"/>
        </w:pBdr>
        <w:spacing w:before="252" w:line="360" w:lineRule="auto"/>
        <w:ind w:right="252"/>
        <w:rPr>
          <w:color w:val="000000"/>
          <w:sz w:val="24"/>
          <w:szCs w:val="24"/>
        </w:rPr>
      </w:pPr>
      <w:r>
        <w:rPr>
          <w:color w:val="000000"/>
          <w:sz w:val="24"/>
          <w:szCs w:val="24"/>
        </w:rPr>
        <w:t>En segundo lugar, asegurar el adecuado financiamiento de accesibilidad al sistema judicial y al ejercicio del Protocolo de Acceso a la Justicia de Personas con Discapacidad no puede basarse en iniciativas innominadas de los magistrados, sino en política institucional fundada con presupuesto público, y esto conlleva alear recursos destinados a tal efecto dentro del Plan Operativo Institucional del Poder Judicial, con objetivos precisos y mecanismo de rendición de cuentas. En Chile, los documentos de accesibi</w:t>
      </w:r>
      <w:r>
        <w:rPr>
          <w:color w:val="000000"/>
          <w:sz w:val="24"/>
          <w:szCs w:val="24"/>
        </w:rPr>
        <w:t>lidad del Servicio Nacional de la Discapacidad nos muestran políticas públicas orientadas al financiamiento y gestión de una accesibilidad universal (Servicio Nacional de la Discapacidad, 2023).</w:t>
      </w:r>
    </w:p>
    <w:p w14:paraId="0E826A27" w14:textId="77777777" w:rsidR="001F72F2" w:rsidRDefault="001F72F2">
      <w:pPr>
        <w:pBdr>
          <w:top w:val="nil"/>
          <w:left w:val="nil"/>
          <w:bottom w:val="nil"/>
          <w:right w:val="nil"/>
          <w:between w:val="nil"/>
        </w:pBdr>
        <w:spacing w:before="1" w:line="360" w:lineRule="auto"/>
        <w:rPr>
          <w:color w:val="000000"/>
          <w:sz w:val="24"/>
          <w:szCs w:val="24"/>
        </w:rPr>
      </w:pPr>
    </w:p>
    <w:p w14:paraId="0E826A28" w14:textId="77777777" w:rsidR="001F72F2" w:rsidRDefault="002719B2">
      <w:pPr>
        <w:pBdr>
          <w:top w:val="nil"/>
          <w:left w:val="nil"/>
          <w:bottom w:val="nil"/>
          <w:right w:val="nil"/>
          <w:between w:val="nil"/>
        </w:pBdr>
        <w:spacing w:line="360" w:lineRule="auto"/>
        <w:ind w:right="253"/>
        <w:rPr>
          <w:color w:val="000000"/>
          <w:sz w:val="24"/>
          <w:szCs w:val="24"/>
        </w:rPr>
      </w:pPr>
      <w:r>
        <w:rPr>
          <w:color w:val="000000"/>
          <w:sz w:val="24"/>
          <w:szCs w:val="24"/>
        </w:rPr>
        <w:t xml:space="preserve">En tercer lugar, la inteligencia artificial deberá incorporarse como un instrumento de inclusión, teniendo coherencia con la Ley Nro. 31814 y su Reglamento. El desarrollo de aplicaciones accesibles que conviertan textos en braille </w:t>
      </w:r>
      <w:proofErr w:type="gramStart"/>
      <w:r>
        <w:rPr>
          <w:color w:val="000000"/>
          <w:sz w:val="24"/>
          <w:szCs w:val="24"/>
        </w:rPr>
        <w:t>digital,</w:t>
      </w:r>
      <w:proofErr w:type="gramEnd"/>
      <w:r>
        <w:rPr>
          <w:color w:val="000000"/>
          <w:sz w:val="24"/>
          <w:szCs w:val="24"/>
        </w:rPr>
        <w:t xml:space="preserve"> adapte la comunicación a sistemas táctiles o automaticen notificaciones judiciales en formatos accesibles contribuiría a reducir la dependencia de terceros y garantizar mayor autonomía a las personas con sordoceguera. La evidencia académica nos señala que la inteligencia artificial tiene un rol creciente en la accesibilidad digital. </w:t>
      </w:r>
      <w:proofErr w:type="spellStart"/>
      <w:r>
        <w:rPr>
          <w:color w:val="000000"/>
          <w:sz w:val="24"/>
          <w:szCs w:val="24"/>
        </w:rPr>
        <w:t>Chemnad</w:t>
      </w:r>
      <w:proofErr w:type="spellEnd"/>
      <w:r>
        <w:rPr>
          <w:color w:val="000000"/>
          <w:sz w:val="24"/>
          <w:szCs w:val="24"/>
        </w:rPr>
        <w:t xml:space="preserve"> y Othman (2024) documentan una revisión bibliométrica sobre la inteligencia artificial aplicada a la accesibilidad digital y Campo et al. (2025) nos muestran un</w:t>
      </w:r>
      <w:r>
        <w:rPr>
          <w:color w:val="000000"/>
          <w:sz w:val="24"/>
          <w:szCs w:val="24"/>
        </w:rPr>
        <w:t xml:space="preserve"> diseño de dispositivos electrónicos autónomos para que puedan enseñar braille de forma automatizada. Por ello, estas experiencias internacionales pueden servir como una referencia para que se puedan desarrollar soluciones tecnológicas inclusivas en el Perú, pero siempre bajo estándares de ética, transparencia y protección de datos personales.</w:t>
      </w:r>
    </w:p>
    <w:p w14:paraId="0E826A29" w14:textId="77777777" w:rsidR="001F72F2" w:rsidRDefault="001F72F2">
      <w:pPr>
        <w:pBdr>
          <w:top w:val="nil"/>
          <w:left w:val="nil"/>
          <w:bottom w:val="nil"/>
          <w:right w:val="nil"/>
          <w:between w:val="nil"/>
        </w:pBdr>
        <w:spacing w:before="1" w:line="360" w:lineRule="auto"/>
        <w:rPr>
          <w:color w:val="000000"/>
          <w:sz w:val="24"/>
          <w:szCs w:val="24"/>
        </w:rPr>
      </w:pPr>
    </w:p>
    <w:p w14:paraId="0E826A2A" w14:textId="77777777" w:rsidR="001F72F2" w:rsidRDefault="002719B2">
      <w:pPr>
        <w:pBdr>
          <w:top w:val="nil"/>
          <w:left w:val="nil"/>
          <w:bottom w:val="nil"/>
          <w:right w:val="nil"/>
          <w:between w:val="nil"/>
        </w:pBdr>
        <w:spacing w:line="360" w:lineRule="auto"/>
        <w:ind w:right="256"/>
        <w:rPr>
          <w:color w:val="000000"/>
          <w:sz w:val="24"/>
          <w:szCs w:val="24"/>
        </w:rPr>
      </w:pPr>
      <w:r>
        <w:rPr>
          <w:color w:val="000000"/>
          <w:sz w:val="24"/>
          <w:szCs w:val="24"/>
        </w:rPr>
        <w:t>En cuarto lugar, debe promoverse una capacitación continua del personal jurisdiccional y administrativo en materia de discapacidad e inclusión; no basta con que existan normas o protocolos; se requiere que quienes administran justicia comprendan las necesidades particulares de las personas con sordoceguera y actúen con sensibilidad y compromiso. Para ello, podría incorporarse la formación en accesibilidad como requisito obligatorio en la Escuela Nacional de la Magistratura y en los programas de inducción de</w:t>
      </w:r>
      <w:r>
        <w:rPr>
          <w:color w:val="000000"/>
          <w:sz w:val="24"/>
          <w:szCs w:val="24"/>
        </w:rPr>
        <w:t>l Poder Judicial.</w:t>
      </w:r>
    </w:p>
    <w:p w14:paraId="0E826A2B" w14:textId="77777777" w:rsidR="001F72F2" w:rsidRDefault="002719B2">
      <w:pPr>
        <w:pBdr>
          <w:top w:val="nil"/>
          <w:left w:val="nil"/>
          <w:bottom w:val="nil"/>
          <w:right w:val="nil"/>
          <w:between w:val="nil"/>
        </w:pBdr>
        <w:spacing w:before="252" w:line="360" w:lineRule="auto"/>
        <w:ind w:right="252"/>
        <w:rPr>
          <w:color w:val="000000"/>
          <w:sz w:val="24"/>
          <w:szCs w:val="24"/>
        </w:rPr>
      </w:pPr>
      <w:r>
        <w:rPr>
          <w:color w:val="000000"/>
          <w:sz w:val="24"/>
          <w:szCs w:val="24"/>
        </w:rPr>
        <w:lastRenderedPageBreak/>
        <w:t>Finalmente, se recomienda establecer un mecanismo de supervisión interinstitucional que involucre al Poder Judicial, el Ministerio de Justicia y Derechos Humanos y el CONADIS, encargado de monitorear el cumplimiento del derecho de acceso a la justicia de las personas con discapacidad, donde este organismo debería elaborar informes periódicos, recibir denuncias por barreras de accesibilidad y formular recomendaciones vinculantes para la mejora del sistema. En conjunto, estas propuestas buscan articular la no</w:t>
      </w:r>
      <w:r>
        <w:rPr>
          <w:color w:val="000000"/>
          <w:sz w:val="24"/>
          <w:szCs w:val="24"/>
        </w:rPr>
        <w:t>rmativa vigente con acciones concretas que permitan transformar el sistema judicial peruano en un espacio realmente inclusivo. Garantizar el acceso a la justicia a las personas con sordoceguera no solo es una obligación legal y moral, sino también un requisito necesario para fortalecer el régimen democrático, así como el Estado de derecho en el Perú.</w:t>
      </w:r>
    </w:p>
    <w:p w14:paraId="0E826A2C" w14:textId="77777777" w:rsidR="001F72F2" w:rsidRDefault="001F72F2">
      <w:pPr>
        <w:pBdr>
          <w:top w:val="nil"/>
          <w:left w:val="nil"/>
          <w:bottom w:val="nil"/>
          <w:right w:val="nil"/>
          <w:between w:val="nil"/>
        </w:pBdr>
        <w:spacing w:before="1" w:line="360" w:lineRule="auto"/>
        <w:rPr>
          <w:color w:val="000000"/>
          <w:sz w:val="24"/>
          <w:szCs w:val="24"/>
        </w:rPr>
      </w:pPr>
    </w:p>
    <w:p w14:paraId="0E826A2D" w14:textId="77777777" w:rsidR="001F72F2" w:rsidRDefault="002719B2">
      <w:pPr>
        <w:pStyle w:val="Heading1"/>
        <w:rPr>
          <w:b w:val="0"/>
          <w:bCs w:val="0"/>
          <w:sz w:val="28"/>
          <w:szCs w:val="28"/>
        </w:rPr>
      </w:pPr>
      <w:r>
        <w:rPr>
          <w:b w:val="0"/>
          <w:bCs w:val="0"/>
          <w:sz w:val="28"/>
          <w:szCs w:val="28"/>
        </w:rPr>
        <w:t>CONCLUSIONES</w:t>
      </w:r>
    </w:p>
    <w:p w14:paraId="0E826A2E" w14:textId="77777777" w:rsidR="001F72F2" w:rsidRDefault="001F72F2"/>
    <w:p w14:paraId="0E826A2F" w14:textId="77777777" w:rsidR="001F72F2" w:rsidRDefault="002719B2">
      <w:pPr>
        <w:numPr>
          <w:ilvl w:val="0"/>
          <w:numId w:val="1"/>
        </w:numPr>
        <w:pBdr>
          <w:top w:val="nil"/>
          <w:left w:val="nil"/>
          <w:bottom w:val="nil"/>
          <w:right w:val="nil"/>
          <w:between w:val="nil"/>
        </w:pBdr>
        <w:tabs>
          <w:tab w:val="left" w:pos="979"/>
          <w:tab w:val="left" w:pos="981"/>
        </w:tabs>
        <w:spacing w:line="360" w:lineRule="auto"/>
        <w:ind w:left="0" w:right="254" w:firstLine="0"/>
        <w:rPr>
          <w:color w:val="000000"/>
          <w:sz w:val="24"/>
          <w:szCs w:val="24"/>
        </w:rPr>
      </w:pPr>
      <w:r>
        <w:rPr>
          <w:color w:val="000000"/>
          <w:sz w:val="24"/>
          <w:szCs w:val="24"/>
        </w:rPr>
        <w:t>El acceso a la justicia es un derecho fundamental, que debe ser garantizado para todas las personas sin distinción alguna. En el caso de las personas con sordoceguera, la presente investigación confirma que dicho acceso aún enfrenta barreras comunicativas, estructurales y procedimentales que limitan la participación efectiva en los procesos judiciales y, para poder superarlas, el sistema judicial peruano debe adoptar ajustes razonables, formación especializada e infraestructura accesible para que se haga ef</w:t>
      </w:r>
      <w:r>
        <w:rPr>
          <w:color w:val="000000"/>
          <w:sz w:val="24"/>
          <w:szCs w:val="24"/>
        </w:rPr>
        <w:t>ectivo el principio de igualdad material y de tutela jurisdiccional efectiva reconocida en el artículo 139, inciso 3, de la Constitución Política del Perú.</w:t>
      </w:r>
    </w:p>
    <w:p w14:paraId="0E826A30" w14:textId="77777777" w:rsidR="001F72F2" w:rsidRDefault="001F72F2">
      <w:pPr>
        <w:pBdr>
          <w:top w:val="nil"/>
          <w:left w:val="nil"/>
          <w:bottom w:val="nil"/>
          <w:right w:val="nil"/>
          <w:between w:val="nil"/>
        </w:pBdr>
        <w:spacing w:line="360" w:lineRule="auto"/>
        <w:rPr>
          <w:color w:val="000000"/>
          <w:sz w:val="24"/>
          <w:szCs w:val="24"/>
        </w:rPr>
      </w:pPr>
    </w:p>
    <w:p w14:paraId="0E826A31" w14:textId="77777777" w:rsidR="001F72F2" w:rsidRDefault="002719B2">
      <w:pPr>
        <w:numPr>
          <w:ilvl w:val="0"/>
          <w:numId w:val="1"/>
        </w:numPr>
        <w:pBdr>
          <w:top w:val="nil"/>
          <w:left w:val="nil"/>
          <w:bottom w:val="nil"/>
          <w:right w:val="nil"/>
          <w:between w:val="nil"/>
        </w:pBdr>
        <w:tabs>
          <w:tab w:val="left" w:pos="979"/>
          <w:tab w:val="left" w:pos="981"/>
        </w:tabs>
        <w:spacing w:line="360" w:lineRule="auto"/>
        <w:ind w:left="0" w:right="252" w:firstLine="0"/>
        <w:rPr>
          <w:color w:val="000000"/>
          <w:sz w:val="24"/>
          <w:szCs w:val="24"/>
        </w:rPr>
      </w:pPr>
      <w:r>
        <w:rPr>
          <w:color w:val="000000"/>
          <w:sz w:val="24"/>
          <w:szCs w:val="24"/>
        </w:rPr>
        <w:t>Desde una perspectiva jurídica, el marco normativo internacional y local, integrado por la Convención sobre los Derechos de la Persona con Discapacidad, la Ley General de la Persona con Discapacidad, la Ley Nro. 29524 que reconoce la sordoceguera y la Ley Nro. 31814 sobre el uso de la inteligencia artificial, ofrece requisitos precisos para que el Estado peruano promueva mecanismos inclusivos que integren a los grupos vulnerables en el ámbito judicial, pero en la presente investigación se puede evidenciar q</w:t>
      </w:r>
      <w:r>
        <w:rPr>
          <w:color w:val="000000"/>
          <w:sz w:val="24"/>
          <w:szCs w:val="24"/>
        </w:rPr>
        <w:t>ue la brecha entre la norma y la práctica persiste, lo que exige fortalecer la implementación y el monitoreo en materia de justicia inclusiva.</w:t>
      </w:r>
    </w:p>
    <w:p w14:paraId="0E826A32" w14:textId="77777777" w:rsidR="001F72F2" w:rsidRDefault="001F72F2">
      <w:pPr>
        <w:pBdr>
          <w:top w:val="nil"/>
          <w:left w:val="nil"/>
          <w:bottom w:val="nil"/>
          <w:right w:val="nil"/>
          <w:between w:val="nil"/>
        </w:pBdr>
        <w:spacing w:line="360" w:lineRule="auto"/>
        <w:rPr>
          <w:color w:val="000000"/>
          <w:sz w:val="24"/>
          <w:szCs w:val="24"/>
        </w:rPr>
      </w:pPr>
    </w:p>
    <w:p w14:paraId="0E826A33" w14:textId="77777777" w:rsidR="001F72F2" w:rsidRDefault="002719B2">
      <w:pPr>
        <w:numPr>
          <w:ilvl w:val="0"/>
          <w:numId w:val="1"/>
        </w:numPr>
        <w:pBdr>
          <w:top w:val="nil"/>
          <w:left w:val="nil"/>
          <w:bottom w:val="nil"/>
          <w:right w:val="nil"/>
          <w:between w:val="nil"/>
        </w:pBdr>
        <w:tabs>
          <w:tab w:val="left" w:pos="981"/>
        </w:tabs>
        <w:spacing w:before="1" w:line="360" w:lineRule="auto"/>
        <w:ind w:left="0" w:right="253" w:firstLine="0"/>
        <w:rPr>
          <w:color w:val="000000"/>
          <w:sz w:val="24"/>
          <w:szCs w:val="24"/>
        </w:rPr>
      </w:pPr>
      <w:r>
        <w:rPr>
          <w:color w:val="000000"/>
          <w:sz w:val="24"/>
          <w:szCs w:val="24"/>
        </w:rPr>
        <w:lastRenderedPageBreak/>
        <w:t>En el plano tecnológico, la inteligencia artificial representa una oportunidad histórica de transformación judicial, al poder desarrollar herramientas valiosas para la inclusión, porque nos permite tener intérpretes virtuales, sistemas de traducción automática, asistentes hápticos y programas de lectura táctil que pueden derribar las barreras comunicativas que históricamente han marginado a las personas sordociegas, y su incorporación en el sistema judicial no solo optimizará los procedimientos, sino que ta</w:t>
      </w:r>
      <w:r>
        <w:rPr>
          <w:color w:val="000000"/>
          <w:sz w:val="24"/>
          <w:szCs w:val="24"/>
        </w:rPr>
        <w:t>mbién promoverá una verdadera accesibilidad en términos sensoriales, lingüísticos y cognitivos.</w:t>
      </w:r>
    </w:p>
    <w:p w14:paraId="0E826A34" w14:textId="77777777" w:rsidR="001F72F2" w:rsidRDefault="001F72F2">
      <w:pPr>
        <w:pBdr>
          <w:top w:val="nil"/>
          <w:left w:val="nil"/>
          <w:bottom w:val="nil"/>
          <w:right w:val="nil"/>
          <w:between w:val="nil"/>
        </w:pBdr>
        <w:spacing w:line="360" w:lineRule="auto"/>
        <w:rPr>
          <w:color w:val="000000"/>
          <w:sz w:val="24"/>
          <w:szCs w:val="24"/>
        </w:rPr>
      </w:pPr>
    </w:p>
    <w:p w14:paraId="0E826A35" w14:textId="77777777" w:rsidR="001F72F2" w:rsidRDefault="002719B2">
      <w:pPr>
        <w:numPr>
          <w:ilvl w:val="0"/>
          <w:numId w:val="1"/>
        </w:numPr>
        <w:pBdr>
          <w:top w:val="nil"/>
          <w:left w:val="nil"/>
          <w:bottom w:val="nil"/>
          <w:right w:val="nil"/>
          <w:between w:val="nil"/>
        </w:pBdr>
        <w:tabs>
          <w:tab w:val="left" w:pos="979"/>
          <w:tab w:val="left" w:pos="981"/>
        </w:tabs>
        <w:spacing w:line="360" w:lineRule="auto"/>
        <w:ind w:left="0" w:right="254" w:firstLine="0"/>
        <w:rPr>
          <w:color w:val="000000"/>
          <w:sz w:val="24"/>
          <w:szCs w:val="24"/>
        </w:rPr>
      </w:pPr>
      <w:r>
        <w:rPr>
          <w:color w:val="000000"/>
          <w:sz w:val="24"/>
          <w:szCs w:val="24"/>
        </w:rPr>
        <w:t>Desde un enfoque ético y político, el desafío real es incorporar estas innovaciones tecnológicas como una forma política de desarrollos sustentables, éticos y accesibles, y evitar que la inteligencia artificial se convierta en un fin, sino en un instrumento para asegurar la igualdad, la autonomía y la dignidad en el ejercicio del derecho al acceso a la justicia.</w:t>
      </w:r>
    </w:p>
    <w:p w14:paraId="0E826A36" w14:textId="77777777" w:rsidR="001F72F2" w:rsidRDefault="001F72F2">
      <w:pPr>
        <w:pBdr>
          <w:top w:val="nil"/>
          <w:left w:val="nil"/>
          <w:bottom w:val="nil"/>
          <w:right w:val="nil"/>
          <w:between w:val="nil"/>
        </w:pBdr>
        <w:spacing w:before="2" w:line="360" w:lineRule="auto"/>
        <w:rPr>
          <w:color w:val="000000"/>
          <w:sz w:val="24"/>
          <w:szCs w:val="24"/>
        </w:rPr>
      </w:pPr>
    </w:p>
    <w:p w14:paraId="0E826A37" w14:textId="77777777" w:rsidR="001F72F2" w:rsidRDefault="002719B2">
      <w:pPr>
        <w:numPr>
          <w:ilvl w:val="0"/>
          <w:numId w:val="1"/>
        </w:numPr>
        <w:pBdr>
          <w:top w:val="nil"/>
          <w:left w:val="nil"/>
          <w:bottom w:val="nil"/>
          <w:right w:val="nil"/>
          <w:between w:val="nil"/>
        </w:pBdr>
        <w:tabs>
          <w:tab w:val="left" w:pos="979"/>
          <w:tab w:val="left" w:pos="981"/>
        </w:tabs>
        <w:spacing w:line="360" w:lineRule="auto"/>
        <w:ind w:left="0" w:right="256" w:firstLine="0"/>
        <w:rPr>
          <w:color w:val="000000"/>
          <w:sz w:val="24"/>
          <w:szCs w:val="24"/>
        </w:rPr>
        <w:sectPr w:rsidR="001F72F2">
          <w:pgSz w:w="12240" w:h="15840"/>
          <w:pgMar w:top="1600" w:right="1440" w:bottom="280" w:left="1440" w:header="360" w:footer="360" w:gutter="0"/>
          <w:cols w:space="720"/>
        </w:sectPr>
      </w:pPr>
      <w:r>
        <w:rPr>
          <w:color w:val="000000"/>
          <w:sz w:val="24"/>
          <w:szCs w:val="24"/>
        </w:rPr>
        <w:t>En síntesis, esta investigación marca un hito histórico en el análisis jurídico peruano al poder evidenciar cómo la inteligencia artificial puede convertirse en un nuevo paradigma de inclusión judicial con una aplicación responsable y ética que transformaría al sistema judicial peruano en un espacio verdaderamente accesible, donde la tecnología no reemplace al ser humano, sino que lo complemente y potencie en la búsqueda de la equidad y, en el caso de las personas con sordoceguera, esto implicaría hacer tan</w:t>
      </w:r>
      <w:r>
        <w:rPr>
          <w:color w:val="000000"/>
          <w:sz w:val="24"/>
          <w:szCs w:val="24"/>
        </w:rPr>
        <w:t>gible la igualdad ante la ley y garantizar que la justicia deje de ser un privilegio para convertirse en un derecho plenamente realizable.</w:t>
      </w:r>
    </w:p>
    <w:p w14:paraId="0E826A38" w14:textId="77777777" w:rsidR="001F72F2" w:rsidRDefault="002719B2">
      <w:pPr>
        <w:pStyle w:val="Heading1"/>
        <w:rPr>
          <w:b w:val="0"/>
          <w:bCs w:val="0"/>
          <w:sz w:val="28"/>
          <w:szCs w:val="28"/>
        </w:rPr>
      </w:pPr>
      <w:r>
        <w:rPr>
          <w:b w:val="0"/>
          <w:bCs w:val="0"/>
          <w:sz w:val="28"/>
          <w:szCs w:val="28"/>
        </w:rPr>
        <w:lastRenderedPageBreak/>
        <w:t>REFERENCIAS BIBLIOGRÁFICAS</w:t>
      </w:r>
    </w:p>
    <w:p w14:paraId="0E826A39" w14:textId="77777777" w:rsidR="001F72F2" w:rsidRDefault="001F72F2">
      <w:pPr>
        <w:pBdr>
          <w:top w:val="nil"/>
          <w:left w:val="nil"/>
          <w:bottom w:val="nil"/>
          <w:right w:val="nil"/>
          <w:between w:val="nil"/>
        </w:pBdr>
        <w:spacing w:line="360" w:lineRule="auto"/>
        <w:rPr>
          <w:color w:val="000000"/>
          <w:sz w:val="24"/>
          <w:szCs w:val="24"/>
        </w:rPr>
      </w:pPr>
    </w:p>
    <w:p w14:paraId="0E826A3A" w14:textId="77777777" w:rsidR="001F72F2" w:rsidRDefault="002719B2">
      <w:pPr>
        <w:pBdr>
          <w:top w:val="nil"/>
          <w:left w:val="nil"/>
          <w:bottom w:val="nil"/>
          <w:right w:val="nil"/>
          <w:between w:val="nil"/>
        </w:pBdr>
        <w:spacing w:before="1" w:line="360" w:lineRule="auto"/>
        <w:ind w:right="256"/>
        <w:rPr>
          <w:color w:val="000000"/>
          <w:sz w:val="24"/>
          <w:szCs w:val="24"/>
        </w:rPr>
      </w:pPr>
      <w:r>
        <w:rPr>
          <w:color w:val="000000"/>
          <w:sz w:val="24"/>
          <w:szCs w:val="24"/>
        </w:rPr>
        <w:t xml:space="preserve">Aguirre, C. de F. (2023). Access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justice</w:t>
      </w:r>
      <w:proofErr w:type="spellEnd"/>
      <w:r>
        <w:rPr>
          <w:color w:val="000000"/>
          <w:sz w:val="24"/>
          <w:szCs w:val="24"/>
        </w:rPr>
        <w:t xml:space="preserve"> </w:t>
      </w:r>
      <w:proofErr w:type="spellStart"/>
      <w:r>
        <w:rPr>
          <w:color w:val="000000"/>
          <w:sz w:val="24"/>
          <w:szCs w:val="24"/>
        </w:rPr>
        <w:t>through</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obligations</w:t>
      </w:r>
      <w:proofErr w:type="spellEnd"/>
      <w:r>
        <w:rPr>
          <w:color w:val="000000"/>
          <w:sz w:val="24"/>
          <w:szCs w:val="24"/>
        </w:rPr>
        <w:t xml:space="preserve"> </w:t>
      </w:r>
      <w:proofErr w:type="spellStart"/>
      <w:r>
        <w:rPr>
          <w:color w:val="000000"/>
          <w:sz w:val="24"/>
          <w:szCs w:val="24"/>
        </w:rPr>
        <w:t>developed</w:t>
      </w:r>
      <w:proofErr w:type="spellEnd"/>
      <w:r>
        <w:rPr>
          <w:color w:val="000000"/>
          <w:sz w:val="24"/>
          <w:szCs w:val="24"/>
        </w:rPr>
        <w:t xml:space="preserve"> </w:t>
      </w:r>
      <w:proofErr w:type="spellStart"/>
      <w:r>
        <w:rPr>
          <w:color w:val="000000"/>
          <w:sz w:val="24"/>
          <w:szCs w:val="24"/>
        </w:rPr>
        <w:t>by</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United</w:t>
      </w:r>
      <w:proofErr w:type="spellEnd"/>
      <w:r>
        <w:rPr>
          <w:color w:val="000000"/>
          <w:sz w:val="24"/>
          <w:szCs w:val="24"/>
        </w:rPr>
        <w:t xml:space="preserve"> Nations Human </w:t>
      </w:r>
      <w:proofErr w:type="spellStart"/>
      <w:r>
        <w:rPr>
          <w:color w:val="000000"/>
          <w:sz w:val="24"/>
          <w:szCs w:val="24"/>
        </w:rPr>
        <w:t>Rights</w:t>
      </w:r>
      <w:proofErr w:type="spellEnd"/>
      <w:r>
        <w:rPr>
          <w:color w:val="000000"/>
          <w:sz w:val="24"/>
          <w:szCs w:val="24"/>
        </w:rPr>
        <w:t xml:space="preserve"> </w:t>
      </w:r>
      <w:proofErr w:type="spellStart"/>
      <w:r>
        <w:rPr>
          <w:color w:val="000000"/>
          <w:sz w:val="24"/>
          <w:szCs w:val="24"/>
        </w:rPr>
        <w:t>treaty</w:t>
      </w:r>
      <w:proofErr w:type="spellEnd"/>
      <w:r>
        <w:rPr>
          <w:color w:val="000000"/>
          <w:sz w:val="24"/>
          <w:szCs w:val="24"/>
        </w:rPr>
        <w:t xml:space="preserve"> </w:t>
      </w:r>
      <w:proofErr w:type="spellStart"/>
      <w:r>
        <w:rPr>
          <w:color w:val="000000"/>
          <w:sz w:val="24"/>
          <w:szCs w:val="24"/>
        </w:rPr>
        <w:t>bodies</w:t>
      </w:r>
      <w:proofErr w:type="spellEnd"/>
      <w:r>
        <w:rPr>
          <w:color w:val="000000"/>
          <w:sz w:val="24"/>
          <w:szCs w:val="24"/>
        </w:rPr>
        <w:t xml:space="preserve">. Global Campus Human </w:t>
      </w:r>
      <w:proofErr w:type="spellStart"/>
      <w:r>
        <w:rPr>
          <w:color w:val="000000"/>
          <w:sz w:val="24"/>
          <w:szCs w:val="24"/>
        </w:rPr>
        <w:t>Rights</w:t>
      </w:r>
      <w:proofErr w:type="spellEnd"/>
      <w:r>
        <w:rPr>
          <w:color w:val="000000"/>
          <w:sz w:val="24"/>
          <w:szCs w:val="24"/>
        </w:rPr>
        <w:t xml:space="preserve"> </w:t>
      </w:r>
      <w:proofErr w:type="spellStart"/>
      <w:r>
        <w:rPr>
          <w:color w:val="000000"/>
          <w:sz w:val="24"/>
          <w:szCs w:val="24"/>
        </w:rPr>
        <w:t>Journal</w:t>
      </w:r>
      <w:proofErr w:type="spellEnd"/>
      <w:r>
        <w:rPr>
          <w:color w:val="000000"/>
          <w:sz w:val="24"/>
          <w:szCs w:val="24"/>
        </w:rPr>
        <w:t xml:space="preserve">, 7(1), 1-21. </w:t>
      </w:r>
      <w:hyperlink r:id="rId9">
        <w:r>
          <w:rPr>
            <w:color w:val="0462C1"/>
            <w:sz w:val="24"/>
            <w:szCs w:val="24"/>
          </w:rPr>
          <w:t>http://dx.doi.org/10.25330/2658</w:t>
        </w:r>
      </w:hyperlink>
    </w:p>
    <w:p w14:paraId="0E826A3B" w14:textId="77777777" w:rsidR="001F72F2" w:rsidRDefault="002719B2">
      <w:pPr>
        <w:pBdr>
          <w:top w:val="nil"/>
          <w:left w:val="nil"/>
          <w:bottom w:val="nil"/>
          <w:right w:val="nil"/>
          <w:between w:val="nil"/>
        </w:pBdr>
        <w:tabs>
          <w:tab w:val="left" w:pos="8230"/>
        </w:tabs>
        <w:spacing w:line="360" w:lineRule="auto"/>
        <w:ind w:right="255"/>
        <w:rPr>
          <w:color w:val="000000"/>
          <w:sz w:val="24"/>
          <w:szCs w:val="24"/>
        </w:rPr>
      </w:pPr>
      <w:r>
        <w:rPr>
          <w:color w:val="000000"/>
          <w:sz w:val="24"/>
          <w:szCs w:val="24"/>
        </w:rPr>
        <w:t xml:space="preserve">Avellaneda-Vásquez, J., Seminario-Hurtado, N., &amp; Bermúdez-Tapia, M. (2024). La garantía del acceso a la justicia de personas con discapacidad en el Perú | The </w:t>
      </w:r>
      <w:proofErr w:type="spellStart"/>
      <w:r>
        <w:rPr>
          <w:color w:val="000000"/>
          <w:sz w:val="24"/>
          <w:szCs w:val="24"/>
        </w:rPr>
        <w:t>guarantee</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access</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justice</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people</w:t>
      </w:r>
      <w:proofErr w:type="spellEnd"/>
      <w:r>
        <w:rPr>
          <w:color w:val="000000"/>
          <w:sz w:val="24"/>
          <w:szCs w:val="24"/>
        </w:rPr>
        <w:t xml:space="preserve"> </w:t>
      </w:r>
      <w:proofErr w:type="spellStart"/>
      <w:r>
        <w:rPr>
          <w:color w:val="000000"/>
          <w:sz w:val="24"/>
          <w:szCs w:val="24"/>
        </w:rPr>
        <w:t>with</w:t>
      </w:r>
      <w:proofErr w:type="spellEnd"/>
      <w:r>
        <w:rPr>
          <w:color w:val="000000"/>
          <w:sz w:val="24"/>
          <w:szCs w:val="24"/>
        </w:rPr>
        <w:t xml:space="preserve"> </w:t>
      </w:r>
      <w:proofErr w:type="spellStart"/>
      <w:r>
        <w:rPr>
          <w:color w:val="000000"/>
          <w:sz w:val="24"/>
          <w:szCs w:val="24"/>
        </w:rPr>
        <w:t>disabilities</w:t>
      </w:r>
      <w:proofErr w:type="spellEnd"/>
      <w:r>
        <w:rPr>
          <w:color w:val="000000"/>
          <w:sz w:val="24"/>
          <w:szCs w:val="24"/>
        </w:rPr>
        <w:t xml:space="preserve"> in Peru. Revista Española De Discapacidad, 12(2),</w:t>
      </w:r>
      <w:r>
        <w:rPr>
          <w:color w:val="000000"/>
          <w:sz w:val="24"/>
          <w:szCs w:val="24"/>
        </w:rPr>
        <w:tab/>
        <w:t>161-183.</w:t>
      </w:r>
    </w:p>
    <w:p w14:paraId="0E826A3C" w14:textId="77777777" w:rsidR="001F72F2" w:rsidRDefault="002719B2">
      <w:pPr>
        <w:pBdr>
          <w:top w:val="nil"/>
          <w:left w:val="nil"/>
          <w:bottom w:val="nil"/>
          <w:right w:val="nil"/>
          <w:between w:val="nil"/>
        </w:pBdr>
        <w:spacing w:line="360" w:lineRule="auto"/>
        <w:rPr>
          <w:color w:val="000000"/>
          <w:sz w:val="24"/>
          <w:szCs w:val="24"/>
        </w:rPr>
      </w:pPr>
      <w:hyperlink r:id="rId10">
        <w:r>
          <w:rPr>
            <w:color w:val="0462C1"/>
            <w:sz w:val="24"/>
            <w:szCs w:val="24"/>
          </w:rPr>
          <w:t>https://www.cedid.es/redis/index.php/redis/article/view/1064</w:t>
        </w:r>
      </w:hyperlink>
    </w:p>
    <w:p w14:paraId="0E826A3D" w14:textId="77777777" w:rsidR="001F72F2" w:rsidRDefault="002719B2">
      <w:pPr>
        <w:pBdr>
          <w:top w:val="nil"/>
          <w:left w:val="nil"/>
          <w:bottom w:val="nil"/>
          <w:right w:val="nil"/>
          <w:between w:val="nil"/>
        </w:pBdr>
        <w:spacing w:line="360" w:lineRule="auto"/>
        <w:ind w:right="256"/>
        <w:rPr>
          <w:color w:val="000000"/>
          <w:sz w:val="24"/>
          <w:szCs w:val="24"/>
        </w:rPr>
      </w:pPr>
      <w:r>
        <w:rPr>
          <w:color w:val="000000"/>
          <w:sz w:val="24"/>
          <w:szCs w:val="24"/>
        </w:rPr>
        <w:t xml:space="preserve">Bernales Rojas, Gerardo. (2019). El acceso a la justicia en el sistema interamericano de </w:t>
      </w:r>
      <w:proofErr w:type="gramStart"/>
      <w:r>
        <w:rPr>
          <w:color w:val="000000"/>
          <w:sz w:val="24"/>
          <w:szCs w:val="24"/>
        </w:rPr>
        <w:t>protección  de</w:t>
      </w:r>
      <w:proofErr w:type="gramEnd"/>
      <w:r>
        <w:rPr>
          <w:color w:val="000000"/>
          <w:sz w:val="24"/>
          <w:szCs w:val="24"/>
        </w:rPr>
        <w:t xml:space="preserve">  </w:t>
      </w:r>
      <w:proofErr w:type="gramStart"/>
      <w:r>
        <w:rPr>
          <w:color w:val="000000"/>
          <w:sz w:val="24"/>
          <w:szCs w:val="24"/>
        </w:rPr>
        <w:t>los  derechos</w:t>
      </w:r>
      <w:proofErr w:type="gramEnd"/>
      <w:r>
        <w:rPr>
          <w:color w:val="000000"/>
          <w:sz w:val="24"/>
          <w:szCs w:val="24"/>
        </w:rPr>
        <w:t xml:space="preserve">  humanos. </w:t>
      </w:r>
      <w:proofErr w:type="gramStart"/>
      <w:r>
        <w:rPr>
          <w:color w:val="000000"/>
          <w:sz w:val="24"/>
          <w:szCs w:val="24"/>
        </w:rPr>
        <w:t>Ius  et</w:t>
      </w:r>
      <w:proofErr w:type="gramEnd"/>
      <w:r>
        <w:rPr>
          <w:color w:val="000000"/>
          <w:sz w:val="24"/>
          <w:szCs w:val="24"/>
        </w:rPr>
        <w:t xml:space="preserve">  Praxis, 25(3</w:t>
      </w:r>
      <w:proofErr w:type="gramStart"/>
      <w:r>
        <w:rPr>
          <w:color w:val="000000"/>
          <w:sz w:val="24"/>
          <w:szCs w:val="24"/>
        </w:rPr>
        <w:t xml:space="preserve">),   </w:t>
      </w:r>
      <w:proofErr w:type="gramEnd"/>
      <w:r>
        <w:rPr>
          <w:color w:val="000000"/>
          <w:sz w:val="24"/>
          <w:szCs w:val="24"/>
        </w:rPr>
        <w:t>277-</w:t>
      </w:r>
    </w:p>
    <w:p w14:paraId="0E826A3E" w14:textId="77777777" w:rsidR="001F72F2" w:rsidRDefault="002719B2">
      <w:pPr>
        <w:pBdr>
          <w:top w:val="nil"/>
          <w:left w:val="nil"/>
          <w:bottom w:val="nil"/>
          <w:right w:val="nil"/>
          <w:between w:val="nil"/>
        </w:pBdr>
        <w:spacing w:line="360" w:lineRule="auto"/>
        <w:rPr>
          <w:color w:val="000000"/>
          <w:sz w:val="24"/>
          <w:szCs w:val="24"/>
        </w:rPr>
      </w:pPr>
      <w:r>
        <w:rPr>
          <w:color w:val="000000"/>
          <w:sz w:val="24"/>
          <w:szCs w:val="24"/>
        </w:rPr>
        <w:t xml:space="preserve">306. </w:t>
      </w:r>
      <w:hyperlink r:id="rId11">
        <w:r>
          <w:rPr>
            <w:color w:val="0462C1"/>
            <w:sz w:val="24"/>
            <w:szCs w:val="24"/>
          </w:rPr>
          <w:t>https://dx.doi.org/10.4067/S0718-00122019000300277</w:t>
        </w:r>
      </w:hyperlink>
    </w:p>
    <w:p w14:paraId="0E826A3F" w14:textId="77777777" w:rsidR="001F72F2" w:rsidRDefault="002719B2">
      <w:pPr>
        <w:pBdr>
          <w:top w:val="nil"/>
          <w:left w:val="nil"/>
          <w:bottom w:val="nil"/>
          <w:right w:val="nil"/>
          <w:between w:val="nil"/>
        </w:pBdr>
        <w:spacing w:before="1" w:line="360" w:lineRule="auto"/>
        <w:ind w:right="254"/>
        <w:rPr>
          <w:color w:val="000000"/>
          <w:sz w:val="24"/>
          <w:szCs w:val="24"/>
        </w:rPr>
      </w:pPr>
      <w:r>
        <w:rPr>
          <w:color w:val="000000"/>
          <w:sz w:val="24"/>
          <w:szCs w:val="24"/>
        </w:rPr>
        <w:t xml:space="preserve">Campo Guerrero, G. </w:t>
      </w:r>
      <w:proofErr w:type="gramStart"/>
      <w:r>
        <w:rPr>
          <w:color w:val="000000"/>
          <w:sz w:val="24"/>
          <w:szCs w:val="24"/>
        </w:rPr>
        <w:t>M. .</w:t>
      </w:r>
      <w:proofErr w:type="gramEnd"/>
      <w:r>
        <w:rPr>
          <w:color w:val="000000"/>
          <w:sz w:val="24"/>
          <w:szCs w:val="24"/>
        </w:rPr>
        <w:t xml:space="preserve">, Vera Montes, J. </w:t>
      </w:r>
      <w:proofErr w:type="gramStart"/>
      <w:r>
        <w:rPr>
          <w:color w:val="000000"/>
          <w:sz w:val="24"/>
          <w:szCs w:val="24"/>
        </w:rPr>
        <w:t>A. .</w:t>
      </w:r>
      <w:proofErr w:type="gramEnd"/>
      <w:r>
        <w:rPr>
          <w:color w:val="000000"/>
          <w:sz w:val="24"/>
          <w:szCs w:val="24"/>
        </w:rPr>
        <w:t xml:space="preserve">, &amp; Hurtado Crespo, G. </w:t>
      </w:r>
      <w:proofErr w:type="gramStart"/>
      <w:r>
        <w:rPr>
          <w:color w:val="000000"/>
          <w:sz w:val="24"/>
          <w:szCs w:val="24"/>
        </w:rPr>
        <w:t>P. .</w:t>
      </w:r>
      <w:proofErr w:type="gramEnd"/>
      <w:r>
        <w:rPr>
          <w:color w:val="000000"/>
          <w:sz w:val="24"/>
          <w:szCs w:val="24"/>
        </w:rPr>
        <w:t xml:space="preserve"> (2025). Alpha Braille: Diseño de dispositivo electrónico autónomo para la enseñanza-aprendizaje de Braille en ANVIZSUC. Revista Multidisciplinar Epistemología De Las Ciencias, 2(2), 767-782. </w:t>
      </w:r>
      <w:hyperlink r:id="rId12">
        <w:r>
          <w:rPr>
            <w:color w:val="0462C1"/>
            <w:sz w:val="24"/>
            <w:szCs w:val="24"/>
          </w:rPr>
          <w:t>https://doi.org/10.71112/a3w2j631</w:t>
        </w:r>
      </w:hyperlink>
    </w:p>
    <w:p w14:paraId="0E826A40" w14:textId="77777777" w:rsidR="001F72F2" w:rsidRDefault="002719B2">
      <w:pPr>
        <w:pBdr>
          <w:top w:val="nil"/>
          <w:left w:val="nil"/>
          <w:bottom w:val="nil"/>
          <w:right w:val="nil"/>
          <w:between w:val="nil"/>
        </w:pBdr>
        <w:spacing w:line="360" w:lineRule="auto"/>
        <w:ind w:right="256"/>
        <w:rPr>
          <w:color w:val="000000"/>
          <w:sz w:val="24"/>
          <w:szCs w:val="24"/>
        </w:rPr>
      </w:pPr>
      <w:proofErr w:type="spellStart"/>
      <w:r>
        <w:rPr>
          <w:color w:val="000000"/>
          <w:sz w:val="24"/>
          <w:szCs w:val="24"/>
        </w:rPr>
        <w:t>Chemnad</w:t>
      </w:r>
      <w:proofErr w:type="spellEnd"/>
      <w:r>
        <w:rPr>
          <w:color w:val="000000"/>
          <w:sz w:val="24"/>
          <w:szCs w:val="24"/>
        </w:rPr>
        <w:t xml:space="preserve">, K., &amp; Othman, A. (2024). Digital </w:t>
      </w:r>
      <w:proofErr w:type="spellStart"/>
      <w:r>
        <w:rPr>
          <w:color w:val="000000"/>
          <w:sz w:val="24"/>
          <w:szCs w:val="24"/>
        </w:rPr>
        <w:t>accessibility</w:t>
      </w:r>
      <w:proofErr w:type="spellEnd"/>
      <w:r>
        <w:rPr>
          <w:color w:val="000000"/>
          <w:sz w:val="24"/>
          <w:szCs w:val="24"/>
        </w:rPr>
        <w:t xml:space="preserve"> in </w:t>
      </w:r>
      <w:proofErr w:type="spellStart"/>
      <w:r>
        <w:rPr>
          <w:color w:val="000000"/>
          <w:sz w:val="24"/>
          <w:szCs w:val="24"/>
        </w:rPr>
        <w:t>the</w:t>
      </w:r>
      <w:proofErr w:type="spellEnd"/>
      <w:r>
        <w:rPr>
          <w:color w:val="000000"/>
          <w:sz w:val="24"/>
          <w:szCs w:val="24"/>
        </w:rPr>
        <w:t xml:space="preserve"> era </w:t>
      </w:r>
      <w:proofErr w:type="spellStart"/>
      <w:r>
        <w:rPr>
          <w:color w:val="000000"/>
          <w:sz w:val="24"/>
          <w:szCs w:val="24"/>
        </w:rPr>
        <w:t>of</w:t>
      </w:r>
      <w:proofErr w:type="spellEnd"/>
      <w:r>
        <w:rPr>
          <w:color w:val="000000"/>
          <w:sz w:val="24"/>
          <w:szCs w:val="24"/>
        </w:rPr>
        <w:t xml:space="preserve"> artificial </w:t>
      </w:r>
      <w:proofErr w:type="spellStart"/>
      <w:r>
        <w:rPr>
          <w:color w:val="000000"/>
          <w:sz w:val="24"/>
          <w:szCs w:val="24"/>
        </w:rPr>
        <w:t>intelligence</w:t>
      </w:r>
      <w:proofErr w:type="spellEnd"/>
      <w:r>
        <w:rPr>
          <w:color w:val="000000"/>
          <w:sz w:val="24"/>
          <w:szCs w:val="24"/>
        </w:rPr>
        <w:t xml:space="preserve">- </w:t>
      </w:r>
      <w:proofErr w:type="spellStart"/>
      <w:r>
        <w:rPr>
          <w:color w:val="000000"/>
          <w:sz w:val="24"/>
          <w:szCs w:val="24"/>
        </w:rPr>
        <w:t>Bibliometric</w:t>
      </w:r>
      <w:proofErr w:type="spellEnd"/>
      <w:r>
        <w:rPr>
          <w:color w:val="000000"/>
          <w:sz w:val="24"/>
          <w:szCs w:val="24"/>
        </w:rPr>
        <w:t xml:space="preserve"> </w:t>
      </w:r>
      <w:proofErr w:type="spellStart"/>
      <w:r>
        <w:rPr>
          <w:color w:val="000000"/>
          <w:sz w:val="24"/>
          <w:szCs w:val="24"/>
        </w:rPr>
        <w:t>analysis</w:t>
      </w:r>
      <w:proofErr w:type="spellEnd"/>
      <w:r>
        <w:rPr>
          <w:color w:val="000000"/>
          <w:sz w:val="24"/>
          <w:szCs w:val="24"/>
        </w:rPr>
        <w:t xml:space="preserve"> and </w:t>
      </w:r>
      <w:proofErr w:type="spellStart"/>
      <w:r>
        <w:rPr>
          <w:color w:val="000000"/>
          <w:sz w:val="24"/>
          <w:szCs w:val="24"/>
        </w:rPr>
        <w:t>systematic</w:t>
      </w:r>
      <w:proofErr w:type="spellEnd"/>
      <w:r>
        <w:rPr>
          <w:color w:val="000000"/>
          <w:sz w:val="24"/>
          <w:szCs w:val="24"/>
        </w:rPr>
        <w:t xml:space="preserve"> </w:t>
      </w:r>
      <w:proofErr w:type="spellStart"/>
      <w:r>
        <w:rPr>
          <w:color w:val="000000"/>
          <w:sz w:val="24"/>
          <w:szCs w:val="24"/>
        </w:rPr>
        <w:t>review</w:t>
      </w:r>
      <w:proofErr w:type="spellEnd"/>
      <w:r>
        <w:rPr>
          <w:color w:val="000000"/>
          <w:sz w:val="24"/>
          <w:szCs w:val="24"/>
        </w:rPr>
        <w:t xml:space="preserve">. </w:t>
      </w:r>
      <w:proofErr w:type="spellStart"/>
      <w:r>
        <w:rPr>
          <w:color w:val="000000"/>
          <w:sz w:val="24"/>
          <w:szCs w:val="24"/>
        </w:rPr>
        <w:t>Frontiers</w:t>
      </w:r>
      <w:proofErr w:type="spellEnd"/>
      <w:r>
        <w:rPr>
          <w:color w:val="000000"/>
          <w:sz w:val="24"/>
          <w:szCs w:val="24"/>
        </w:rPr>
        <w:t xml:space="preserve"> in artificial </w:t>
      </w:r>
      <w:proofErr w:type="spellStart"/>
      <w:r>
        <w:rPr>
          <w:color w:val="000000"/>
          <w:sz w:val="24"/>
          <w:szCs w:val="24"/>
        </w:rPr>
        <w:t>intelligence</w:t>
      </w:r>
      <w:proofErr w:type="spellEnd"/>
      <w:r>
        <w:rPr>
          <w:color w:val="000000"/>
          <w:sz w:val="24"/>
          <w:szCs w:val="24"/>
        </w:rPr>
        <w:t xml:space="preserve">, 7, 1349668. </w:t>
      </w:r>
      <w:hyperlink r:id="rId13">
        <w:r>
          <w:rPr>
            <w:color w:val="0462C1"/>
            <w:sz w:val="24"/>
            <w:szCs w:val="24"/>
          </w:rPr>
          <w:t>https://doi.org/10.3389/frai.2024.1349668</w:t>
        </w:r>
      </w:hyperlink>
    </w:p>
    <w:p w14:paraId="0E826A41" w14:textId="77777777" w:rsidR="001F72F2" w:rsidRDefault="002719B2">
      <w:pPr>
        <w:spacing w:before="1" w:line="360" w:lineRule="auto"/>
        <w:ind w:right="254"/>
        <w:rPr>
          <w:sz w:val="24"/>
          <w:szCs w:val="24"/>
        </w:rPr>
      </w:pPr>
      <w:r>
        <w:rPr>
          <w:sz w:val="24"/>
          <w:szCs w:val="24"/>
        </w:rPr>
        <w:t xml:space="preserve">Comité sobre los Derechos de las Personas con Discapacidad. (2014). Observación general núm. 2 (2014) sobre el artículo 9: Accesibilidad (CRPD/C/GC/2). Naciones Unidas. </w:t>
      </w:r>
      <w:hyperlink r:id="rId14">
        <w:r>
          <w:rPr>
            <w:color w:val="0462C1"/>
            <w:sz w:val="24"/>
            <w:szCs w:val="24"/>
          </w:rPr>
          <w:t>https://www.scjn.gob.mx/sites/default/files/pagina-micrositios/documentos/2018-</w:t>
        </w:r>
      </w:hyperlink>
      <w:r>
        <w:rPr>
          <w:color w:val="0462C1"/>
          <w:sz w:val="24"/>
          <w:szCs w:val="24"/>
        </w:rPr>
        <w:t xml:space="preserve"> </w:t>
      </w:r>
      <w:hyperlink r:id="rId15">
        <w:r>
          <w:rPr>
            <w:color w:val="0462C1"/>
            <w:sz w:val="24"/>
            <w:szCs w:val="24"/>
          </w:rPr>
          <w:t>08/observacion-general-n2-2014.docx</w:t>
        </w:r>
      </w:hyperlink>
    </w:p>
    <w:p w14:paraId="0E826A42" w14:textId="77777777" w:rsidR="001F72F2" w:rsidRDefault="002719B2">
      <w:pPr>
        <w:spacing w:line="360" w:lineRule="auto"/>
        <w:ind w:right="254"/>
        <w:rPr>
          <w:sz w:val="24"/>
          <w:szCs w:val="24"/>
        </w:rPr>
      </w:pPr>
      <w:r>
        <w:rPr>
          <w:sz w:val="24"/>
          <w:szCs w:val="24"/>
        </w:rPr>
        <w:t xml:space="preserve">Comité sobre los Derechos de las Personas con Discapacidad. (2018). Observación general núm. 6 (2018) sobre el derecho a la igualdad y la no discriminación (CRPD/C/GC/6). Naciones Unidas. </w:t>
      </w:r>
      <w:hyperlink r:id="rId16">
        <w:r>
          <w:rPr>
            <w:color w:val="0462C1"/>
            <w:sz w:val="24"/>
            <w:szCs w:val="24"/>
          </w:rPr>
          <w:t>https://www.undocs.org/es/CRPD/C/GC/6</w:t>
        </w:r>
      </w:hyperlink>
    </w:p>
    <w:p w14:paraId="0E826A43" w14:textId="77777777" w:rsidR="001F72F2" w:rsidRDefault="002719B2">
      <w:pPr>
        <w:tabs>
          <w:tab w:val="left" w:pos="3353"/>
          <w:tab w:val="left" w:pos="4564"/>
          <w:tab w:val="left" w:pos="5896"/>
          <w:tab w:val="left" w:pos="7899"/>
        </w:tabs>
        <w:spacing w:line="360" w:lineRule="auto"/>
        <w:ind w:right="256"/>
        <w:rPr>
          <w:sz w:val="24"/>
          <w:szCs w:val="24"/>
        </w:rPr>
      </w:pPr>
      <w:r>
        <w:rPr>
          <w:sz w:val="24"/>
          <w:szCs w:val="24"/>
        </w:rPr>
        <w:t xml:space="preserve">Congreso de la República del Perú. (2007). Resolución Legislativa </w:t>
      </w:r>
      <w:proofErr w:type="spellStart"/>
      <w:r>
        <w:rPr>
          <w:sz w:val="24"/>
          <w:szCs w:val="24"/>
        </w:rPr>
        <w:t>N°</w:t>
      </w:r>
      <w:proofErr w:type="spellEnd"/>
      <w:r>
        <w:rPr>
          <w:sz w:val="24"/>
          <w:szCs w:val="24"/>
        </w:rPr>
        <w:t xml:space="preserve"> 29127 “Resolución legislativa que aprueba la “convención sobre los derechos de las personas con discapacidad</w:t>
      </w:r>
      <w:r>
        <w:rPr>
          <w:sz w:val="24"/>
          <w:szCs w:val="24"/>
        </w:rPr>
        <w:tab/>
        <w:t>y</w:t>
      </w:r>
      <w:r>
        <w:rPr>
          <w:sz w:val="24"/>
          <w:szCs w:val="24"/>
        </w:rPr>
        <w:tab/>
        <w:t>su</w:t>
      </w:r>
      <w:r>
        <w:rPr>
          <w:sz w:val="24"/>
          <w:szCs w:val="24"/>
        </w:rPr>
        <w:tab/>
        <w:t>protocolo</w:t>
      </w:r>
      <w:r>
        <w:rPr>
          <w:sz w:val="24"/>
          <w:szCs w:val="24"/>
        </w:rPr>
        <w:tab/>
        <w:t xml:space="preserve">facultativo””. </w:t>
      </w:r>
      <w:hyperlink r:id="rId17">
        <w:r>
          <w:rPr>
            <w:color w:val="0462C1"/>
            <w:sz w:val="24"/>
            <w:szCs w:val="24"/>
          </w:rPr>
          <w:t>https://leyes.congreso.gob.pe/Documentos/Leyes/29127.pdf</w:t>
        </w:r>
      </w:hyperlink>
    </w:p>
    <w:p w14:paraId="0E826A44" w14:textId="77777777" w:rsidR="001F72F2" w:rsidRDefault="002719B2">
      <w:pPr>
        <w:pBdr>
          <w:top w:val="nil"/>
          <w:left w:val="nil"/>
          <w:bottom w:val="nil"/>
          <w:right w:val="nil"/>
          <w:between w:val="nil"/>
        </w:pBdr>
        <w:spacing w:line="360" w:lineRule="auto"/>
        <w:ind w:right="253"/>
        <w:rPr>
          <w:color w:val="000000"/>
          <w:sz w:val="24"/>
          <w:szCs w:val="24"/>
        </w:rPr>
      </w:pPr>
      <w:r>
        <w:rPr>
          <w:color w:val="000000"/>
          <w:sz w:val="24"/>
          <w:szCs w:val="24"/>
        </w:rPr>
        <w:t xml:space="preserve">Constitución Política del Perú. (1993). Artículo 139, inciso 3. </w:t>
      </w:r>
      <w:hyperlink r:id="rId18">
        <w:r>
          <w:rPr>
            <w:color w:val="0462C1"/>
            <w:sz w:val="24"/>
            <w:szCs w:val="24"/>
          </w:rPr>
          <w:t>http://www.pcm.gob.pe/wp-</w:t>
        </w:r>
      </w:hyperlink>
      <w:r>
        <w:rPr>
          <w:color w:val="0462C1"/>
          <w:sz w:val="24"/>
          <w:szCs w:val="24"/>
        </w:rPr>
        <w:t xml:space="preserve"> </w:t>
      </w:r>
      <w:hyperlink r:id="rId19">
        <w:r>
          <w:rPr>
            <w:color w:val="0462C1"/>
            <w:sz w:val="24"/>
            <w:szCs w:val="24"/>
          </w:rPr>
          <w:t>content/uploads/2013/09/Constitucion-Pol%C3%ADtica-del-Peru-1993.pdf</w:t>
        </w:r>
      </w:hyperlink>
    </w:p>
    <w:p w14:paraId="0E826A45" w14:textId="77777777" w:rsidR="001F72F2" w:rsidRDefault="002719B2">
      <w:pPr>
        <w:pBdr>
          <w:top w:val="nil"/>
          <w:left w:val="nil"/>
          <w:bottom w:val="nil"/>
          <w:right w:val="nil"/>
          <w:between w:val="nil"/>
        </w:pBdr>
        <w:spacing w:line="360" w:lineRule="auto"/>
        <w:ind w:right="256"/>
        <w:rPr>
          <w:color w:val="000000"/>
          <w:sz w:val="24"/>
          <w:szCs w:val="24"/>
        </w:rPr>
      </w:pPr>
      <w:r>
        <w:rPr>
          <w:color w:val="000000"/>
          <w:sz w:val="24"/>
          <w:szCs w:val="24"/>
        </w:rPr>
        <w:t>Cumbre Judicial Iberoamericana (4-6 de marzo de 2008). Las 100 Reglas de Brasilia sobre acceso a la justicia de las personas en condición de vulnerabilidad, aprobadas en la</w:t>
      </w:r>
    </w:p>
    <w:p w14:paraId="0E826A46" w14:textId="77777777" w:rsidR="001F72F2" w:rsidRDefault="002719B2">
      <w:pPr>
        <w:pBdr>
          <w:top w:val="nil"/>
          <w:left w:val="nil"/>
          <w:bottom w:val="nil"/>
          <w:right w:val="nil"/>
          <w:between w:val="nil"/>
        </w:pBdr>
        <w:tabs>
          <w:tab w:val="left" w:pos="2882"/>
          <w:tab w:val="left" w:pos="5222"/>
          <w:tab w:val="left" w:pos="7510"/>
        </w:tabs>
        <w:spacing w:line="360" w:lineRule="auto"/>
        <w:ind w:right="255"/>
        <w:rPr>
          <w:color w:val="000000"/>
          <w:sz w:val="24"/>
          <w:szCs w:val="24"/>
        </w:rPr>
      </w:pPr>
      <w:r>
        <w:rPr>
          <w:color w:val="000000"/>
          <w:sz w:val="24"/>
          <w:szCs w:val="24"/>
        </w:rPr>
        <w:t>XIV</w:t>
      </w:r>
      <w:r>
        <w:rPr>
          <w:color w:val="000000"/>
          <w:sz w:val="24"/>
          <w:szCs w:val="24"/>
        </w:rPr>
        <w:tab/>
        <w:t>Cumbre</w:t>
      </w:r>
      <w:r>
        <w:rPr>
          <w:color w:val="000000"/>
          <w:sz w:val="24"/>
          <w:szCs w:val="24"/>
        </w:rPr>
        <w:tab/>
        <w:t>Judicial</w:t>
      </w:r>
      <w:r>
        <w:rPr>
          <w:color w:val="000000"/>
          <w:sz w:val="24"/>
          <w:szCs w:val="24"/>
        </w:rPr>
        <w:tab/>
        <w:t xml:space="preserve">Iberoamericana, Brasilia. </w:t>
      </w:r>
      <w:hyperlink r:id="rId20">
        <w:r>
          <w:rPr>
            <w:color w:val="0462C1"/>
            <w:sz w:val="24"/>
            <w:szCs w:val="24"/>
          </w:rPr>
          <w:t>https://www.acnur.org/fileadmin/Documentos/BDL/2009/7037.pdf</w:t>
        </w:r>
      </w:hyperlink>
      <w:r>
        <w:rPr>
          <w:color w:val="000000"/>
          <w:sz w:val="24"/>
          <w:szCs w:val="24"/>
        </w:rPr>
        <w:t>.</w:t>
      </w:r>
    </w:p>
    <w:p w14:paraId="0E826A47" w14:textId="77777777" w:rsidR="001F72F2" w:rsidRDefault="002719B2">
      <w:pPr>
        <w:pBdr>
          <w:top w:val="nil"/>
          <w:left w:val="nil"/>
          <w:bottom w:val="nil"/>
          <w:right w:val="nil"/>
          <w:between w:val="nil"/>
        </w:pBdr>
        <w:spacing w:before="1" w:line="360" w:lineRule="auto"/>
        <w:ind w:right="256"/>
        <w:rPr>
          <w:color w:val="000000"/>
          <w:sz w:val="24"/>
          <w:szCs w:val="24"/>
        </w:rPr>
      </w:pPr>
      <w:proofErr w:type="spellStart"/>
      <w:r>
        <w:rPr>
          <w:color w:val="000000"/>
          <w:sz w:val="24"/>
          <w:szCs w:val="24"/>
        </w:rPr>
        <w:t>Floridi</w:t>
      </w:r>
      <w:proofErr w:type="spellEnd"/>
      <w:r>
        <w:rPr>
          <w:color w:val="000000"/>
          <w:sz w:val="24"/>
          <w:szCs w:val="24"/>
        </w:rPr>
        <w:t xml:space="preserve">, L., </w:t>
      </w:r>
      <w:proofErr w:type="spellStart"/>
      <w:r>
        <w:rPr>
          <w:color w:val="000000"/>
          <w:sz w:val="24"/>
          <w:szCs w:val="24"/>
        </w:rPr>
        <w:t>Cowls</w:t>
      </w:r>
      <w:proofErr w:type="spellEnd"/>
      <w:r>
        <w:rPr>
          <w:color w:val="000000"/>
          <w:sz w:val="24"/>
          <w:szCs w:val="24"/>
        </w:rPr>
        <w:t xml:space="preserve">, J., King, T. C., &amp; Taddeo, M. (2020). How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design</w:t>
      </w:r>
      <w:proofErr w:type="spellEnd"/>
      <w:r>
        <w:rPr>
          <w:color w:val="000000"/>
          <w:sz w:val="24"/>
          <w:szCs w:val="24"/>
        </w:rPr>
        <w:t xml:space="preserve"> AI </w:t>
      </w:r>
      <w:proofErr w:type="spellStart"/>
      <w:r>
        <w:rPr>
          <w:color w:val="000000"/>
          <w:sz w:val="24"/>
          <w:szCs w:val="24"/>
        </w:rPr>
        <w:t>for</w:t>
      </w:r>
      <w:proofErr w:type="spellEnd"/>
      <w:r>
        <w:rPr>
          <w:color w:val="000000"/>
          <w:sz w:val="24"/>
          <w:szCs w:val="24"/>
        </w:rPr>
        <w:t xml:space="preserve"> social </w:t>
      </w:r>
      <w:proofErr w:type="spellStart"/>
      <w:r>
        <w:rPr>
          <w:color w:val="000000"/>
          <w:sz w:val="24"/>
          <w:szCs w:val="24"/>
        </w:rPr>
        <w:t>good</w:t>
      </w:r>
      <w:proofErr w:type="spellEnd"/>
      <w:r>
        <w:rPr>
          <w:color w:val="000000"/>
          <w:sz w:val="24"/>
          <w:szCs w:val="24"/>
        </w:rPr>
        <w:t xml:space="preserve">: Seven </w:t>
      </w:r>
      <w:proofErr w:type="spellStart"/>
      <w:r>
        <w:rPr>
          <w:color w:val="000000"/>
          <w:sz w:val="24"/>
          <w:szCs w:val="24"/>
        </w:rPr>
        <w:t>essential</w:t>
      </w:r>
      <w:proofErr w:type="spellEnd"/>
      <w:r>
        <w:rPr>
          <w:color w:val="000000"/>
          <w:sz w:val="24"/>
          <w:szCs w:val="24"/>
        </w:rPr>
        <w:t xml:space="preserve"> </w:t>
      </w:r>
      <w:proofErr w:type="spellStart"/>
      <w:r>
        <w:rPr>
          <w:color w:val="000000"/>
          <w:sz w:val="24"/>
          <w:szCs w:val="24"/>
        </w:rPr>
        <w:t>factors</w:t>
      </w:r>
      <w:proofErr w:type="spellEnd"/>
      <w:r>
        <w:rPr>
          <w:color w:val="000000"/>
          <w:sz w:val="24"/>
          <w:szCs w:val="24"/>
        </w:rPr>
        <w:t xml:space="preserve">. </w:t>
      </w:r>
      <w:proofErr w:type="spellStart"/>
      <w:r>
        <w:rPr>
          <w:color w:val="000000"/>
          <w:sz w:val="24"/>
          <w:szCs w:val="24"/>
        </w:rPr>
        <w:t>Science</w:t>
      </w:r>
      <w:proofErr w:type="spellEnd"/>
      <w:r>
        <w:rPr>
          <w:color w:val="000000"/>
          <w:sz w:val="24"/>
          <w:szCs w:val="24"/>
        </w:rPr>
        <w:t xml:space="preserve"> and </w:t>
      </w:r>
      <w:proofErr w:type="spellStart"/>
      <w:r>
        <w:rPr>
          <w:color w:val="000000"/>
          <w:sz w:val="24"/>
          <w:szCs w:val="24"/>
        </w:rPr>
        <w:t>Engineering</w:t>
      </w:r>
      <w:proofErr w:type="spellEnd"/>
      <w:r>
        <w:rPr>
          <w:color w:val="000000"/>
          <w:sz w:val="24"/>
          <w:szCs w:val="24"/>
        </w:rPr>
        <w:t xml:space="preserve"> </w:t>
      </w:r>
      <w:proofErr w:type="spellStart"/>
      <w:r>
        <w:rPr>
          <w:color w:val="000000"/>
          <w:sz w:val="24"/>
          <w:szCs w:val="24"/>
        </w:rPr>
        <w:t>Ethics</w:t>
      </w:r>
      <w:proofErr w:type="spellEnd"/>
      <w:r>
        <w:rPr>
          <w:color w:val="000000"/>
          <w:sz w:val="24"/>
          <w:szCs w:val="24"/>
        </w:rPr>
        <w:t xml:space="preserve"> 26, 1771–1796. </w:t>
      </w:r>
      <w:hyperlink r:id="rId21">
        <w:r>
          <w:rPr>
            <w:color w:val="0462C1"/>
            <w:sz w:val="24"/>
            <w:szCs w:val="24"/>
          </w:rPr>
          <w:t>https://doi.org/10.1007/s11948-020-00213-5</w:t>
        </w:r>
      </w:hyperlink>
    </w:p>
    <w:p w14:paraId="0E826A48" w14:textId="77777777" w:rsidR="001F72F2" w:rsidRDefault="002719B2">
      <w:pPr>
        <w:pBdr>
          <w:top w:val="nil"/>
          <w:left w:val="nil"/>
          <w:bottom w:val="nil"/>
          <w:right w:val="nil"/>
          <w:between w:val="nil"/>
        </w:pBdr>
        <w:spacing w:line="360" w:lineRule="auto"/>
        <w:ind w:right="254"/>
        <w:rPr>
          <w:color w:val="000000"/>
          <w:sz w:val="24"/>
          <w:szCs w:val="24"/>
        </w:rPr>
      </w:pPr>
      <w:r>
        <w:rPr>
          <w:color w:val="000000"/>
          <w:sz w:val="24"/>
          <w:szCs w:val="24"/>
        </w:rPr>
        <w:t xml:space="preserve">Fohrmann, A. P. B., &amp; Sousa, A. M. de. (2025). </w:t>
      </w:r>
      <w:proofErr w:type="spellStart"/>
      <w:r>
        <w:rPr>
          <w:color w:val="000000"/>
          <w:sz w:val="24"/>
          <w:szCs w:val="24"/>
        </w:rPr>
        <w:t>Acesso</w:t>
      </w:r>
      <w:proofErr w:type="spellEnd"/>
      <w:r>
        <w:rPr>
          <w:color w:val="000000"/>
          <w:sz w:val="24"/>
          <w:szCs w:val="24"/>
        </w:rPr>
        <w:t xml:space="preserve"> à </w:t>
      </w:r>
      <w:proofErr w:type="spellStart"/>
      <w:r>
        <w:rPr>
          <w:color w:val="000000"/>
          <w:sz w:val="24"/>
          <w:szCs w:val="24"/>
        </w:rPr>
        <w:t>justiça</w:t>
      </w:r>
      <w:proofErr w:type="spellEnd"/>
      <w:r>
        <w:rPr>
          <w:color w:val="000000"/>
          <w:sz w:val="24"/>
          <w:szCs w:val="24"/>
        </w:rPr>
        <w:t xml:space="preserve"> inclusivo para </w:t>
      </w:r>
      <w:proofErr w:type="spellStart"/>
      <w:r>
        <w:rPr>
          <w:color w:val="000000"/>
          <w:sz w:val="24"/>
          <w:szCs w:val="24"/>
        </w:rPr>
        <w:t>pessoas</w:t>
      </w:r>
      <w:proofErr w:type="spellEnd"/>
      <w:r>
        <w:rPr>
          <w:color w:val="000000"/>
          <w:sz w:val="24"/>
          <w:szCs w:val="24"/>
        </w:rPr>
        <w:t xml:space="preserve"> </w:t>
      </w:r>
      <w:proofErr w:type="spellStart"/>
      <w:r>
        <w:rPr>
          <w:color w:val="000000"/>
          <w:sz w:val="24"/>
          <w:szCs w:val="24"/>
        </w:rPr>
        <w:t>com</w:t>
      </w:r>
      <w:proofErr w:type="spellEnd"/>
      <w:r>
        <w:rPr>
          <w:color w:val="000000"/>
          <w:sz w:val="24"/>
          <w:szCs w:val="24"/>
        </w:rPr>
        <w:t xml:space="preserve"> </w:t>
      </w:r>
      <w:proofErr w:type="spellStart"/>
      <w:r>
        <w:rPr>
          <w:color w:val="000000"/>
          <w:sz w:val="24"/>
          <w:szCs w:val="24"/>
        </w:rPr>
        <w:t>deficiências</w:t>
      </w:r>
      <w:proofErr w:type="spellEnd"/>
      <w:r>
        <w:rPr>
          <w:color w:val="000000"/>
          <w:sz w:val="24"/>
          <w:szCs w:val="24"/>
        </w:rPr>
        <w:t xml:space="preserve"> </w:t>
      </w:r>
      <w:proofErr w:type="spellStart"/>
      <w:r>
        <w:rPr>
          <w:color w:val="000000"/>
          <w:sz w:val="24"/>
          <w:szCs w:val="24"/>
        </w:rPr>
        <w:t>psicossocial</w:t>
      </w:r>
      <w:proofErr w:type="spellEnd"/>
      <w:r>
        <w:rPr>
          <w:color w:val="000000"/>
          <w:sz w:val="24"/>
          <w:szCs w:val="24"/>
        </w:rPr>
        <w:t xml:space="preserve"> e intelectual. Revista </w:t>
      </w:r>
      <w:proofErr w:type="spellStart"/>
      <w:r>
        <w:rPr>
          <w:color w:val="000000"/>
          <w:sz w:val="24"/>
          <w:szCs w:val="24"/>
        </w:rPr>
        <w:t>Direito</w:t>
      </w:r>
      <w:proofErr w:type="spellEnd"/>
      <w:r>
        <w:rPr>
          <w:color w:val="000000"/>
          <w:sz w:val="24"/>
          <w:szCs w:val="24"/>
        </w:rPr>
        <w:t xml:space="preserve">, Estado E </w:t>
      </w:r>
      <w:proofErr w:type="spellStart"/>
      <w:r>
        <w:rPr>
          <w:color w:val="000000"/>
          <w:sz w:val="24"/>
          <w:szCs w:val="24"/>
        </w:rPr>
        <w:t>Sociedade</w:t>
      </w:r>
      <w:proofErr w:type="spellEnd"/>
      <w:r>
        <w:rPr>
          <w:color w:val="000000"/>
          <w:sz w:val="24"/>
          <w:szCs w:val="24"/>
        </w:rPr>
        <w:t xml:space="preserve">, (65). </w:t>
      </w:r>
      <w:hyperlink r:id="rId22">
        <w:r>
          <w:rPr>
            <w:color w:val="0462C1"/>
            <w:sz w:val="24"/>
            <w:szCs w:val="24"/>
          </w:rPr>
          <w:t>https://doi.org/10.17808/des.0.1787</w:t>
        </w:r>
      </w:hyperlink>
    </w:p>
    <w:p w14:paraId="0E826A49" w14:textId="77777777" w:rsidR="001F72F2" w:rsidRDefault="002719B2">
      <w:pPr>
        <w:spacing w:line="360" w:lineRule="auto"/>
        <w:ind w:right="258"/>
        <w:rPr>
          <w:sz w:val="24"/>
          <w:szCs w:val="24"/>
        </w:rPr>
      </w:pPr>
      <w:r>
        <w:rPr>
          <w:sz w:val="24"/>
          <w:szCs w:val="24"/>
        </w:rPr>
        <w:t>Hernández-Sampieri, R. y Mendoza, C (2018). Metodología de la investigación. Las rutas cuantitativa, cualitativa y mixta. McGraw Hill.</w:t>
      </w:r>
    </w:p>
    <w:p w14:paraId="0E826A4A" w14:textId="77777777" w:rsidR="001F72F2" w:rsidRDefault="002719B2">
      <w:pPr>
        <w:pBdr>
          <w:top w:val="nil"/>
          <w:left w:val="nil"/>
          <w:bottom w:val="nil"/>
          <w:right w:val="nil"/>
          <w:between w:val="nil"/>
        </w:pBdr>
        <w:tabs>
          <w:tab w:val="left" w:pos="2878"/>
          <w:tab w:val="left" w:pos="4379"/>
          <w:tab w:val="left" w:pos="5392"/>
          <w:tab w:val="left" w:pos="6354"/>
          <w:tab w:val="left" w:pos="7086"/>
          <w:tab w:val="left" w:pos="8206"/>
        </w:tabs>
        <w:spacing w:line="360" w:lineRule="auto"/>
        <w:ind w:right="257"/>
        <w:rPr>
          <w:color w:val="000000"/>
          <w:sz w:val="24"/>
          <w:szCs w:val="24"/>
        </w:rPr>
      </w:pPr>
      <w:r>
        <w:rPr>
          <w:color w:val="000000"/>
          <w:sz w:val="24"/>
          <w:szCs w:val="24"/>
        </w:rPr>
        <w:t>Hospital Carlos Lanfranco La Hoz. (2024, 27 de junio). ¿Qué es y cómo tratar la sordoceguera?</w:t>
      </w:r>
      <w:r>
        <w:rPr>
          <w:color w:val="000000"/>
          <w:sz w:val="24"/>
          <w:szCs w:val="24"/>
        </w:rPr>
        <w:tab/>
        <w:t>Plataforma</w:t>
      </w:r>
      <w:r>
        <w:rPr>
          <w:color w:val="000000"/>
          <w:sz w:val="24"/>
          <w:szCs w:val="24"/>
        </w:rPr>
        <w:tab/>
        <w:t>digital</w:t>
      </w:r>
      <w:r>
        <w:rPr>
          <w:color w:val="000000"/>
          <w:sz w:val="24"/>
          <w:szCs w:val="24"/>
        </w:rPr>
        <w:tab/>
        <w:t>única</w:t>
      </w:r>
      <w:r>
        <w:rPr>
          <w:color w:val="000000"/>
          <w:sz w:val="24"/>
          <w:szCs w:val="24"/>
        </w:rPr>
        <w:tab/>
        <w:t>del</w:t>
      </w:r>
      <w:r>
        <w:rPr>
          <w:color w:val="000000"/>
          <w:sz w:val="24"/>
          <w:szCs w:val="24"/>
        </w:rPr>
        <w:tab/>
        <w:t>Estado</w:t>
      </w:r>
      <w:r>
        <w:rPr>
          <w:color w:val="000000"/>
          <w:sz w:val="24"/>
          <w:szCs w:val="24"/>
        </w:rPr>
        <w:tab/>
        <w:t xml:space="preserve">Peruano. </w:t>
      </w:r>
      <w:hyperlink r:id="rId23">
        <w:r>
          <w:rPr>
            <w:color w:val="0462C1"/>
            <w:sz w:val="24"/>
            <w:szCs w:val="24"/>
          </w:rPr>
          <w:t>https://www.gob.pe/institucion/hcllh/noticias/1006193-que-es-y-como-tratar-la-</w:t>
        </w:r>
      </w:hyperlink>
      <w:r>
        <w:rPr>
          <w:color w:val="0462C1"/>
          <w:sz w:val="24"/>
          <w:szCs w:val="24"/>
        </w:rPr>
        <w:t xml:space="preserve"> </w:t>
      </w:r>
      <w:hyperlink r:id="rId24">
        <w:r>
          <w:rPr>
            <w:color w:val="0462C1"/>
            <w:sz w:val="24"/>
            <w:szCs w:val="24"/>
          </w:rPr>
          <w:t>sordoceguera</w:t>
        </w:r>
      </w:hyperlink>
    </w:p>
    <w:p w14:paraId="0E826A4B" w14:textId="77777777" w:rsidR="001F72F2" w:rsidRDefault="002719B2">
      <w:pPr>
        <w:pBdr>
          <w:top w:val="nil"/>
          <w:left w:val="nil"/>
          <w:bottom w:val="nil"/>
          <w:right w:val="nil"/>
          <w:between w:val="nil"/>
        </w:pBdr>
        <w:spacing w:line="360" w:lineRule="auto"/>
        <w:rPr>
          <w:color w:val="000000"/>
          <w:sz w:val="24"/>
          <w:szCs w:val="24"/>
        </w:rPr>
      </w:pPr>
      <w:r>
        <w:rPr>
          <w:color w:val="000000"/>
          <w:sz w:val="24"/>
          <w:szCs w:val="24"/>
        </w:rPr>
        <w:t xml:space="preserve">Jiménez Lara, A., &amp; Huete García, A. (2010). Políticas públicas sobre discapacidad en España. Hacia una perspectiva basada en los derechos. Política y Sociedad, 47(1), 137–152. </w:t>
      </w:r>
      <w:hyperlink r:id="rId25">
        <w:r>
          <w:rPr>
            <w:color w:val="0462C1"/>
            <w:sz w:val="24"/>
            <w:szCs w:val="24"/>
          </w:rPr>
          <w:t>https://dialnet.unirioja.es/servlet/articulo?codigo=3344624</w:t>
        </w:r>
      </w:hyperlink>
    </w:p>
    <w:p w14:paraId="0E826A4C" w14:textId="77777777" w:rsidR="001F72F2" w:rsidRDefault="002719B2">
      <w:pPr>
        <w:pBdr>
          <w:top w:val="nil"/>
          <w:left w:val="nil"/>
          <w:bottom w:val="nil"/>
          <w:right w:val="nil"/>
          <w:between w:val="nil"/>
        </w:pBdr>
        <w:spacing w:before="2" w:line="360" w:lineRule="auto"/>
        <w:ind w:right="255"/>
        <w:rPr>
          <w:color w:val="000000"/>
          <w:sz w:val="24"/>
          <w:szCs w:val="24"/>
        </w:rPr>
      </w:pPr>
      <w:r>
        <w:rPr>
          <w:color w:val="000000"/>
          <w:sz w:val="24"/>
          <w:szCs w:val="24"/>
        </w:rPr>
        <w:t xml:space="preserve">Kordzadeh, N., &amp; </w:t>
      </w:r>
      <w:proofErr w:type="spellStart"/>
      <w:r>
        <w:rPr>
          <w:color w:val="000000"/>
          <w:sz w:val="24"/>
          <w:szCs w:val="24"/>
        </w:rPr>
        <w:t>Ghasemaghaei</w:t>
      </w:r>
      <w:proofErr w:type="spellEnd"/>
      <w:r>
        <w:rPr>
          <w:color w:val="000000"/>
          <w:sz w:val="24"/>
          <w:szCs w:val="24"/>
        </w:rPr>
        <w:t xml:space="preserve">, M. (2022). </w:t>
      </w:r>
      <w:proofErr w:type="spellStart"/>
      <w:r>
        <w:rPr>
          <w:color w:val="000000"/>
          <w:sz w:val="24"/>
          <w:szCs w:val="24"/>
        </w:rPr>
        <w:t>Algorithmic</w:t>
      </w:r>
      <w:proofErr w:type="spellEnd"/>
      <w:r>
        <w:rPr>
          <w:color w:val="000000"/>
          <w:sz w:val="24"/>
          <w:szCs w:val="24"/>
        </w:rPr>
        <w:t xml:space="preserve"> </w:t>
      </w:r>
      <w:proofErr w:type="spellStart"/>
      <w:r>
        <w:rPr>
          <w:color w:val="000000"/>
          <w:sz w:val="24"/>
          <w:szCs w:val="24"/>
        </w:rPr>
        <w:t>bias</w:t>
      </w:r>
      <w:proofErr w:type="spellEnd"/>
      <w:r>
        <w:rPr>
          <w:color w:val="000000"/>
          <w:sz w:val="24"/>
          <w:szCs w:val="24"/>
        </w:rPr>
        <w:t xml:space="preserve">: </w:t>
      </w:r>
      <w:proofErr w:type="spellStart"/>
      <w:r>
        <w:rPr>
          <w:color w:val="000000"/>
          <w:sz w:val="24"/>
          <w:szCs w:val="24"/>
        </w:rPr>
        <w:t>Review</w:t>
      </w:r>
      <w:proofErr w:type="spellEnd"/>
      <w:r>
        <w:rPr>
          <w:color w:val="000000"/>
          <w:sz w:val="24"/>
          <w:szCs w:val="24"/>
        </w:rPr>
        <w:t xml:space="preserve">, </w:t>
      </w:r>
      <w:proofErr w:type="spellStart"/>
      <w:r>
        <w:rPr>
          <w:color w:val="000000"/>
          <w:sz w:val="24"/>
          <w:szCs w:val="24"/>
        </w:rPr>
        <w:t>synthesis</w:t>
      </w:r>
      <w:proofErr w:type="spellEnd"/>
      <w:r>
        <w:rPr>
          <w:color w:val="000000"/>
          <w:sz w:val="24"/>
          <w:szCs w:val="24"/>
        </w:rPr>
        <w:t xml:space="preserve">, and future </w:t>
      </w:r>
      <w:proofErr w:type="spellStart"/>
      <w:r>
        <w:rPr>
          <w:color w:val="000000"/>
          <w:sz w:val="24"/>
          <w:szCs w:val="24"/>
        </w:rPr>
        <w:t>research</w:t>
      </w:r>
      <w:proofErr w:type="spellEnd"/>
      <w:r>
        <w:rPr>
          <w:color w:val="000000"/>
          <w:sz w:val="24"/>
          <w:szCs w:val="24"/>
        </w:rPr>
        <w:t xml:space="preserve"> </w:t>
      </w:r>
      <w:proofErr w:type="spellStart"/>
      <w:r>
        <w:rPr>
          <w:color w:val="000000"/>
          <w:sz w:val="24"/>
          <w:szCs w:val="24"/>
        </w:rPr>
        <w:t>directions</w:t>
      </w:r>
      <w:proofErr w:type="spellEnd"/>
      <w:r>
        <w:rPr>
          <w:color w:val="000000"/>
          <w:sz w:val="24"/>
          <w:szCs w:val="24"/>
        </w:rPr>
        <w:t xml:space="preserve">. </w:t>
      </w:r>
      <w:proofErr w:type="spellStart"/>
      <w:r>
        <w:rPr>
          <w:color w:val="000000"/>
          <w:sz w:val="24"/>
          <w:szCs w:val="24"/>
        </w:rPr>
        <w:t>European</w:t>
      </w:r>
      <w:proofErr w:type="spellEnd"/>
      <w:r>
        <w:rPr>
          <w:color w:val="000000"/>
          <w:sz w:val="24"/>
          <w:szCs w:val="24"/>
        </w:rPr>
        <w:t xml:space="preserve"> </w:t>
      </w:r>
      <w:proofErr w:type="spellStart"/>
      <w:r>
        <w:rPr>
          <w:color w:val="000000"/>
          <w:sz w:val="24"/>
          <w:szCs w:val="24"/>
        </w:rPr>
        <w:t>Journal</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Information</w:t>
      </w:r>
      <w:proofErr w:type="spellEnd"/>
      <w:r>
        <w:rPr>
          <w:color w:val="000000"/>
          <w:sz w:val="24"/>
          <w:szCs w:val="24"/>
        </w:rPr>
        <w:t xml:space="preserve"> </w:t>
      </w:r>
      <w:proofErr w:type="spellStart"/>
      <w:r>
        <w:rPr>
          <w:color w:val="000000"/>
          <w:sz w:val="24"/>
          <w:szCs w:val="24"/>
        </w:rPr>
        <w:t>Systems</w:t>
      </w:r>
      <w:proofErr w:type="spellEnd"/>
      <w:r>
        <w:rPr>
          <w:color w:val="000000"/>
          <w:sz w:val="24"/>
          <w:szCs w:val="24"/>
        </w:rPr>
        <w:t xml:space="preserve">, 31(3), 388–409. </w:t>
      </w:r>
      <w:hyperlink r:id="rId26">
        <w:r>
          <w:rPr>
            <w:color w:val="0462C1"/>
            <w:sz w:val="24"/>
            <w:szCs w:val="24"/>
          </w:rPr>
          <w:t>https://doi.org/10.1080/0960085X.2021.1927212</w:t>
        </w:r>
      </w:hyperlink>
    </w:p>
    <w:p w14:paraId="0E826A4D" w14:textId="77777777" w:rsidR="001F72F2" w:rsidRDefault="002719B2">
      <w:pPr>
        <w:pBdr>
          <w:top w:val="nil"/>
          <w:left w:val="nil"/>
          <w:bottom w:val="nil"/>
          <w:right w:val="nil"/>
          <w:between w:val="nil"/>
        </w:pBdr>
        <w:spacing w:line="360" w:lineRule="auto"/>
        <w:ind w:right="255"/>
        <w:rPr>
          <w:color w:val="000000"/>
          <w:sz w:val="24"/>
          <w:szCs w:val="24"/>
        </w:rPr>
      </w:pPr>
      <w:r>
        <w:rPr>
          <w:color w:val="000000"/>
          <w:sz w:val="24"/>
          <w:szCs w:val="24"/>
        </w:rPr>
        <w:t xml:space="preserve">Medina, M. J., Baudet, C., </w:t>
      </w:r>
      <w:proofErr w:type="spellStart"/>
      <w:r>
        <w:rPr>
          <w:color w:val="000000"/>
          <w:sz w:val="24"/>
          <w:szCs w:val="24"/>
        </w:rPr>
        <w:t>Njitchouang</w:t>
      </w:r>
      <w:proofErr w:type="spellEnd"/>
      <w:r>
        <w:rPr>
          <w:color w:val="000000"/>
          <w:sz w:val="24"/>
          <w:szCs w:val="24"/>
        </w:rPr>
        <w:t xml:space="preserve">, M., &amp; Lalanne, D. (2025). </w:t>
      </w:r>
      <w:proofErr w:type="spellStart"/>
      <w:r>
        <w:rPr>
          <w:color w:val="000000"/>
          <w:sz w:val="24"/>
          <w:szCs w:val="24"/>
        </w:rPr>
        <w:t>Shaping</w:t>
      </w:r>
      <w:proofErr w:type="spellEnd"/>
      <w:r>
        <w:rPr>
          <w:color w:val="000000"/>
          <w:sz w:val="24"/>
          <w:szCs w:val="24"/>
        </w:rPr>
        <w:t xml:space="preserve"> </w:t>
      </w:r>
      <w:proofErr w:type="spellStart"/>
      <w:r>
        <w:rPr>
          <w:color w:val="000000"/>
          <w:sz w:val="24"/>
          <w:szCs w:val="24"/>
        </w:rPr>
        <w:t>document</w:t>
      </w:r>
      <w:proofErr w:type="spellEnd"/>
      <w:r>
        <w:rPr>
          <w:color w:val="000000"/>
          <w:sz w:val="24"/>
          <w:szCs w:val="24"/>
        </w:rPr>
        <w:t xml:space="preserve"> </w:t>
      </w:r>
      <w:proofErr w:type="spellStart"/>
      <w:r>
        <w:rPr>
          <w:color w:val="000000"/>
          <w:sz w:val="24"/>
          <w:szCs w:val="24"/>
        </w:rPr>
        <w:t>accessibility</w:t>
      </w:r>
      <w:proofErr w:type="spellEnd"/>
      <w:r>
        <w:rPr>
          <w:color w:val="000000"/>
          <w:sz w:val="24"/>
          <w:szCs w:val="24"/>
        </w:rPr>
        <w:t xml:space="preserve"> </w:t>
      </w:r>
      <w:proofErr w:type="spellStart"/>
      <w:r>
        <w:rPr>
          <w:color w:val="000000"/>
          <w:sz w:val="24"/>
          <w:szCs w:val="24"/>
        </w:rPr>
        <w:t>remediation</w:t>
      </w:r>
      <w:proofErr w:type="spellEnd"/>
      <w:r>
        <w:rPr>
          <w:color w:val="000000"/>
          <w:sz w:val="24"/>
          <w:szCs w:val="24"/>
        </w:rPr>
        <w:t xml:space="preserve"> </w:t>
      </w:r>
      <w:proofErr w:type="spellStart"/>
      <w:r>
        <w:rPr>
          <w:color w:val="000000"/>
          <w:sz w:val="24"/>
          <w:szCs w:val="24"/>
        </w:rPr>
        <w:t>with</w:t>
      </w:r>
      <w:proofErr w:type="spellEnd"/>
      <w:r>
        <w:rPr>
          <w:color w:val="000000"/>
          <w:sz w:val="24"/>
          <w:szCs w:val="24"/>
        </w:rPr>
        <w:t xml:space="preserve"> artificial </w:t>
      </w:r>
      <w:proofErr w:type="spellStart"/>
      <w:r>
        <w:rPr>
          <w:color w:val="000000"/>
          <w:sz w:val="24"/>
          <w:szCs w:val="24"/>
        </w:rPr>
        <w:t>intelligence</w:t>
      </w:r>
      <w:proofErr w:type="spellEnd"/>
      <w:r>
        <w:rPr>
          <w:color w:val="000000"/>
          <w:sz w:val="24"/>
          <w:szCs w:val="24"/>
        </w:rPr>
        <w:t xml:space="preserve">: A </w:t>
      </w:r>
      <w:proofErr w:type="spellStart"/>
      <w:r>
        <w:rPr>
          <w:color w:val="000000"/>
          <w:sz w:val="24"/>
          <w:szCs w:val="24"/>
        </w:rPr>
        <w:t>multilevel</w:t>
      </w:r>
      <w:proofErr w:type="spellEnd"/>
      <w:r>
        <w:rPr>
          <w:color w:val="000000"/>
          <w:sz w:val="24"/>
          <w:szCs w:val="24"/>
        </w:rPr>
        <w:t xml:space="preserve"> </w:t>
      </w:r>
      <w:proofErr w:type="spellStart"/>
      <w:r>
        <w:rPr>
          <w:color w:val="000000"/>
          <w:sz w:val="24"/>
          <w:szCs w:val="24"/>
        </w:rPr>
        <w:t>understanding</w:t>
      </w:r>
      <w:proofErr w:type="spellEnd"/>
      <w:r>
        <w:rPr>
          <w:color w:val="000000"/>
          <w:sz w:val="24"/>
          <w:szCs w:val="24"/>
        </w:rPr>
        <w:t xml:space="preserve"> </w:t>
      </w:r>
      <w:proofErr w:type="spellStart"/>
      <w:r>
        <w:rPr>
          <w:color w:val="000000"/>
          <w:sz w:val="24"/>
          <w:szCs w:val="24"/>
        </w:rPr>
        <w:t>study</w:t>
      </w:r>
      <w:proofErr w:type="spellEnd"/>
      <w:r>
        <w:rPr>
          <w:color w:val="000000"/>
          <w:sz w:val="24"/>
          <w:szCs w:val="24"/>
        </w:rPr>
        <w:t xml:space="preserve">. </w:t>
      </w:r>
      <w:proofErr w:type="spellStart"/>
      <w:r>
        <w:rPr>
          <w:color w:val="000000"/>
          <w:sz w:val="24"/>
          <w:szCs w:val="24"/>
        </w:rPr>
        <w:t>Communications</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Association</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Information</w:t>
      </w:r>
      <w:proofErr w:type="spellEnd"/>
      <w:r>
        <w:rPr>
          <w:color w:val="000000"/>
          <w:sz w:val="24"/>
          <w:szCs w:val="24"/>
        </w:rPr>
        <w:t xml:space="preserve"> </w:t>
      </w:r>
      <w:proofErr w:type="spellStart"/>
      <w:r>
        <w:rPr>
          <w:color w:val="000000"/>
          <w:sz w:val="24"/>
          <w:szCs w:val="24"/>
        </w:rPr>
        <w:t>Systems</w:t>
      </w:r>
      <w:proofErr w:type="spellEnd"/>
      <w:r>
        <w:rPr>
          <w:color w:val="000000"/>
          <w:sz w:val="24"/>
          <w:szCs w:val="24"/>
        </w:rPr>
        <w:t xml:space="preserve">, 57(1), Artículo 55. </w:t>
      </w:r>
      <w:hyperlink r:id="rId27">
        <w:r>
          <w:rPr>
            <w:color w:val="0462C1"/>
            <w:sz w:val="24"/>
            <w:szCs w:val="24"/>
          </w:rPr>
          <w:t>https://aisel.aisnet.org/cais/vol57/iss1/55/</w:t>
        </w:r>
      </w:hyperlink>
    </w:p>
    <w:p w14:paraId="0E826A4E" w14:textId="77777777" w:rsidR="001F72F2" w:rsidRDefault="002719B2">
      <w:pPr>
        <w:spacing w:line="360" w:lineRule="auto"/>
        <w:ind w:right="253"/>
        <w:rPr>
          <w:sz w:val="24"/>
          <w:szCs w:val="24"/>
        </w:rPr>
      </w:pPr>
      <w:r>
        <w:rPr>
          <w:sz w:val="24"/>
          <w:szCs w:val="24"/>
        </w:rPr>
        <w:t xml:space="preserve">Mila Maldonado, F. L., Yánez </w:t>
      </w:r>
      <w:proofErr w:type="spellStart"/>
      <w:r>
        <w:rPr>
          <w:sz w:val="24"/>
          <w:szCs w:val="24"/>
        </w:rPr>
        <w:t>Yánez</w:t>
      </w:r>
      <w:proofErr w:type="spellEnd"/>
      <w:r>
        <w:rPr>
          <w:sz w:val="24"/>
          <w:szCs w:val="24"/>
        </w:rPr>
        <w:t xml:space="preserve">, K. A. y Mantilla Salgado, J. D. (2021). Una aproximación a la metodología de la investigación jurídica. Revista Pedagogía Universitaria y Didáctica del Derecho, 8(2), 81. </w:t>
      </w:r>
      <w:hyperlink r:id="rId28">
        <w:r>
          <w:rPr>
            <w:color w:val="0462C1"/>
            <w:sz w:val="24"/>
            <w:szCs w:val="24"/>
          </w:rPr>
          <w:t>https://doi.org/10.5354/0719-</w:t>
        </w:r>
      </w:hyperlink>
      <w:r>
        <w:rPr>
          <w:color w:val="0462C1"/>
          <w:sz w:val="24"/>
          <w:szCs w:val="24"/>
        </w:rPr>
        <w:t xml:space="preserve"> </w:t>
      </w:r>
      <w:hyperlink r:id="rId29">
        <w:r>
          <w:rPr>
            <w:color w:val="0462C1"/>
            <w:sz w:val="24"/>
            <w:szCs w:val="24"/>
          </w:rPr>
          <w:t>5885.2021.60341</w:t>
        </w:r>
      </w:hyperlink>
    </w:p>
    <w:p w14:paraId="0E826A4F" w14:textId="77777777" w:rsidR="001F72F2" w:rsidRDefault="002719B2">
      <w:pPr>
        <w:spacing w:line="360" w:lineRule="auto"/>
        <w:ind w:right="256"/>
        <w:rPr>
          <w:sz w:val="24"/>
          <w:szCs w:val="24"/>
        </w:rPr>
      </w:pPr>
      <w:r>
        <w:rPr>
          <w:sz w:val="24"/>
          <w:szCs w:val="24"/>
        </w:rPr>
        <w:t xml:space="preserve">Naciones Unidas. (2006). Convención sobre los Derechos de las Personas con Discapacidad. </w:t>
      </w:r>
      <w:hyperlink r:id="rId30">
        <w:r>
          <w:rPr>
            <w:color w:val="0462C1"/>
            <w:sz w:val="24"/>
            <w:szCs w:val="24"/>
          </w:rPr>
          <w:t>https://www.un.org/esa/socdev/enable/documents/tccconvs.pdf</w:t>
        </w:r>
      </w:hyperlink>
    </w:p>
    <w:p w14:paraId="0E826A50" w14:textId="77777777" w:rsidR="001F72F2" w:rsidRDefault="002719B2">
      <w:pPr>
        <w:spacing w:line="360" w:lineRule="auto"/>
        <w:ind w:right="255"/>
        <w:rPr>
          <w:sz w:val="24"/>
          <w:szCs w:val="24"/>
        </w:rPr>
      </w:pPr>
      <w:r>
        <w:rPr>
          <w:sz w:val="24"/>
          <w:szCs w:val="24"/>
        </w:rPr>
        <w:t xml:space="preserve">Palacios, A. (2019). Perspectiva de discapacidad y derechos humanos en el contexto de una educación superior inclusiva. Revista Pensar, 24(2), 1–13. Universidad de Fortaleza. </w:t>
      </w:r>
      <w:hyperlink r:id="rId31">
        <w:r>
          <w:rPr>
            <w:color w:val="0462C1"/>
            <w:sz w:val="24"/>
            <w:szCs w:val="24"/>
          </w:rPr>
          <w:t>https://doi.org/10.5020/2317-2150.2019.10225</w:t>
        </w:r>
      </w:hyperlink>
    </w:p>
    <w:p w14:paraId="0E826A51" w14:textId="77777777" w:rsidR="001F72F2" w:rsidRDefault="002719B2">
      <w:pPr>
        <w:pBdr>
          <w:top w:val="nil"/>
          <w:left w:val="nil"/>
          <w:bottom w:val="nil"/>
          <w:right w:val="nil"/>
          <w:between w:val="nil"/>
        </w:pBdr>
        <w:spacing w:line="360" w:lineRule="auto"/>
        <w:ind w:right="253"/>
        <w:rPr>
          <w:color w:val="000000"/>
          <w:sz w:val="24"/>
          <w:szCs w:val="24"/>
        </w:rPr>
      </w:pPr>
      <w:r>
        <w:rPr>
          <w:color w:val="000000"/>
          <w:sz w:val="24"/>
          <w:szCs w:val="24"/>
        </w:rPr>
        <w:t>Pérez-Aguirre, A. P., Morales-Pérez, I. A., Gómez-Mercado, J. A., Gutiérrez-Martínez, R. A., Matehuala-Moran, I., &amp; Fuentes-</w:t>
      </w:r>
      <w:proofErr w:type="spellStart"/>
      <w:r>
        <w:rPr>
          <w:color w:val="000000"/>
          <w:sz w:val="24"/>
          <w:szCs w:val="24"/>
        </w:rPr>
        <w:t>Alvarez</w:t>
      </w:r>
      <w:proofErr w:type="spellEnd"/>
      <w:r>
        <w:rPr>
          <w:color w:val="000000"/>
          <w:sz w:val="24"/>
          <w:szCs w:val="24"/>
        </w:rPr>
        <w:t xml:space="preserve">, R. (2024). </w:t>
      </w:r>
      <w:proofErr w:type="spellStart"/>
      <w:r>
        <w:rPr>
          <w:color w:val="000000"/>
          <w:sz w:val="24"/>
          <w:szCs w:val="24"/>
        </w:rPr>
        <w:t>Bidirectional</w:t>
      </w:r>
      <w:proofErr w:type="spellEnd"/>
      <w:r>
        <w:rPr>
          <w:color w:val="000000"/>
          <w:sz w:val="24"/>
          <w:szCs w:val="24"/>
        </w:rPr>
        <w:t xml:space="preserve"> Braille-</w:t>
      </w:r>
      <w:proofErr w:type="spellStart"/>
      <w:r>
        <w:rPr>
          <w:color w:val="000000"/>
          <w:sz w:val="24"/>
          <w:szCs w:val="24"/>
        </w:rPr>
        <w:t>speech</w:t>
      </w:r>
      <w:proofErr w:type="spellEnd"/>
      <w:r>
        <w:rPr>
          <w:color w:val="000000"/>
          <w:sz w:val="24"/>
          <w:szCs w:val="24"/>
        </w:rPr>
        <w:t xml:space="preserve"> </w:t>
      </w:r>
      <w:proofErr w:type="spellStart"/>
      <w:r>
        <w:rPr>
          <w:color w:val="000000"/>
          <w:sz w:val="24"/>
          <w:szCs w:val="24"/>
        </w:rPr>
        <w:t>Communication</w:t>
      </w:r>
      <w:proofErr w:type="spellEnd"/>
      <w:r>
        <w:rPr>
          <w:color w:val="000000"/>
          <w:sz w:val="24"/>
          <w:szCs w:val="24"/>
        </w:rPr>
        <w:t xml:space="preserve"> </w:t>
      </w:r>
      <w:proofErr w:type="spellStart"/>
      <w:r>
        <w:rPr>
          <w:color w:val="000000"/>
          <w:sz w:val="24"/>
          <w:szCs w:val="24"/>
        </w:rPr>
        <w:t>System</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Deafblind</w:t>
      </w:r>
      <w:proofErr w:type="spellEnd"/>
      <w:r>
        <w:rPr>
          <w:color w:val="000000"/>
          <w:sz w:val="24"/>
          <w:szCs w:val="24"/>
        </w:rPr>
        <w:t xml:space="preserve"> </w:t>
      </w:r>
      <w:proofErr w:type="spellStart"/>
      <w:r>
        <w:rPr>
          <w:color w:val="000000"/>
          <w:sz w:val="24"/>
          <w:szCs w:val="24"/>
        </w:rPr>
        <w:t>Students</w:t>
      </w:r>
      <w:proofErr w:type="spellEnd"/>
      <w:r>
        <w:rPr>
          <w:color w:val="000000"/>
          <w:sz w:val="24"/>
          <w:szCs w:val="24"/>
        </w:rPr>
        <w:t xml:space="preserve">. </w:t>
      </w:r>
      <w:proofErr w:type="spellStart"/>
      <w:r>
        <w:rPr>
          <w:color w:val="000000"/>
          <w:sz w:val="24"/>
          <w:szCs w:val="24"/>
        </w:rPr>
        <w:t>Journal</w:t>
      </w:r>
      <w:proofErr w:type="spellEnd"/>
      <w:r>
        <w:rPr>
          <w:color w:val="000000"/>
          <w:sz w:val="24"/>
          <w:szCs w:val="24"/>
        </w:rPr>
        <w:t xml:space="preserve"> </w:t>
      </w:r>
      <w:proofErr w:type="spellStart"/>
      <w:r>
        <w:rPr>
          <w:color w:val="000000"/>
          <w:sz w:val="24"/>
          <w:szCs w:val="24"/>
        </w:rPr>
        <w:t>on</w:t>
      </w:r>
      <w:proofErr w:type="spellEnd"/>
      <w:r>
        <w:rPr>
          <w:color w:val="000000"/>
          <w:sz w:val="24"/>
          <w:szCs w:val="24"/>
        </w:rPr>
        <w:t xml:space="preserve"> </w:t>
      </w:r>
      <w:proofErr w:type="spellStart"/>
      <w:r>
        <w:rPr>
          <w:color w:val="000000"/>
          <w:sz w:val="24"/>
          <w:szCs w:val="24"/>
        </w:rPr>
        <w:t>Efficiency</w:t>
      </w:r>
      <w:proofErr w:type="spellEnd"/>
      <w:r>
        <w:rPr>
          <w:color w:val="000000"/>
          <w:sz w:val="24"/>
          <w:szCs w:val="24"/>
        </w:rPr>
        <w:t xml:space="preserve"> and </w:t>
      </w:r>
      <w:proofErr w:type="spellStart"/>
      <w:r>
        <w:rPr>
          <w:color w:val="000000"/>
          <w:sz w:val="24"/>
          <w:szCs w:val="24"/>
        </w:rPr>
        <w:t>Responsibility</w:t>
      </w:r>
      <w:proofErr w:type="spellEnd"/>
      <w:r>
        <w:rPr>
          <w:color w:val="000000"/>
          <w:sz w:val="24"/>
          <w:szCs w:val="24"/>
        </w:rPr>
        <w:t xml:space="preserve"> in </w:t>
      </w:r>
      <w:proofErr w:type="spellStart"/>
      <w:r>
        <w:rPr>
          <w:color w:val="000000"/>
          <w:sz w:val="24"/>
          <w:szCs w:val="24"/>
        </w:rPr>
        <w:t>Education</w:t>
      </w:r>
      <w:proofErr w:type="spellEnd"/>
      <w:r>
        <w:rPr>
          <w:color w:val="000000"/>
          <w:sz w:val="24"/>
          <w:szCs w:val="24"/>
        </w:rPr>
        <w:t xml:space="preserve"> and </w:t>
      </w:r>
      <w:proofErr w:type="spellStart"/>
      <w:r>
        <w:rPr>
          <w:color w:val="000000"/>
          <w:sz w:val="24"/>
          <w:szCs w:val="24"/>
        </w:rPr>
        <w:t>Science</w:t>
      </w:r>
      <w:proofErr w:type="spellEnd"/>
      <w:r>
        <w:rPr>
          <w:color w:val="000000"/>
          <w:sz w:val="24"/>
          <w:szCs w:val="24"/>
        </w:rPr>
        <w:t xml:space="preserve">, 17(2), 164–177. </w:t>
      </w:r>
      <w:hyperlink r:id="rId32">
        <w:r>
          <w:rPr>
            <w:color w:val="0462C1"/>
            <w:sz w:val="24"/>
            <w:szCs w:val="24"/>
          </w:rPr>
          <w:t>https://doi.org/10.7160/eriesj.2024.170206</w:t>
        </w:r>
      </w:hyperlink>
    </w:p>
    <w:p w14:paraId="0E826A52" w14:textId="77777777" w:rsidR="001F72F2" w:rsidRDefault="002719B2">
      <w:pPr>
        <w:pBdr>
          <w:top w:val="nil"/>
          <w:left w:val="nil"/>
          <w:bottom w:val="nil"/>
          <w:right w:val="nil"/>
          <w:between w:val="nil"/>
        </w:pBdr>
        <w:tabs>
          <w:tab w:val="left" w:pos="3504"/>
          <w:tab w:val="left" w:pos="5244"/>
          <w:tab w:val="left" w:pos="7130"/>
          <w:tab w:val="left" w:pos="8575"/>
        </w:tabs>
        <w:spacing w:line="360" w:lineRule="auto"/>
        <w:ind w:right="258"/>
        <w:rPr>
          <w:color w:val="000000"/>
          <w:sz w:val="24"/>
          <w:szCs w:val="24"/>
        </w:rPr>
      </w:pPr>
      <w:r>
        <w:rPr>
          <w:color w:val="000000"/>
          <w:sz w:val="24"/>
          <w:szCs w:val="24"/>
        </w:rPr>
        <w:t>Poder Judicial del Perú. (2018). Protocolo de Acceso a la Justicia de Personas con Discapacidad.</w:t>
      </w:r>
      <w:r>
        <w:rPr>
          <w:color w:val="000000"/>
          <w:sz w:val="24"/>
          <w:szCs w:val="24"/>
        </w:rPr>
        <w:tab/>
        <w:t>Poder</w:t>
      </w:r>
      <w:r>
        <w:rPr>
          <w:color w:val="000000"/>
          <w:sz w:val="24"/>
          <w:szCs w:val="24"/>
        </w:rPr>
        <w:tab/>
        <w:t>Judicial</w:t>
      </w:r>
      <w:r>
        <w:rPr>
          <w:color w:val="000000"/>
          <w:sz w:val="24"/>
          <w:szCs w:val="24"/>
        </w:rPr>
        <w:tab/>
        <w:t>del</w:t>
      </w:r>
      <w:r>
        <w:rPr>
          <w:color w:val="000000"/>
          <w:sz w:val="24"/>
          <w:szCs w:val="24"/>
        </w:rPr>
        <w:tab/>
        <w:t xml:space="preserve">Perú. </w:t>
      </w:r>
      <w:hyperlink r:id="rId33">
        <w:r>
          <w:rPr>
            <w:color w:val="0462C1"/>
            <w:sz w:val="24"/>
            <w:szCs w:val="24"/>
          </w:rPr>
          <w:t>https://www.pj.gob.pe/wps/wcm/connect/929c44804f34885caa06bf6976768c74/PR</w:t>
        </w:r>
      </w:hyperlink>
      <w:r>
        <w:rPr>
          <w:color w:val="0462C1"/>
          <w:sz w:val="24"/>
          <w:szCs w:val="24"/>
        </w:rPr>
        <w:t xml:space="preserve"> </w:t>
      </w:r>
      <w:hyperlink r:id="rId34">
        <w:r>
          <w:rPr>
            <w:color w:val="0462C1"/>
            <w:sz w:val="24"/>
            <w:szCs w:val="24"/>
          </w:rPr>
          <w:t>OTOCOLO+DE+ATENCI%C3%93N+JUDICIAL+PARA+PERSONAS+CON+DISC</w:t>
        </w:r>
      </w:hyperlink>
      <w:r>
        <w:rPr>
          <w:color w:val="0462C1"/>
          <w:sz w:val="24"/>
          <w:szCs w:val="24"/>
        </w:rPr>
        <w:t xml:space="preserve"> </w:t>
      </w:r>
      <w:hyperlink r:id="rId35">
        <w:r>
          <w:rPr>
            <w:color w:val="0462C1"/>
            <w:sz w:val="24"/>
            <w:szCs w:val="24"/>
          </w:rPr>
          <w:t>APACIDAD+%2B+Resoluci%C3%B3n.pdf?MOD=AJPERES&amp;CACHEID=929c4480</w:t>
        </w:r>
      </w:hyperlink>
      <w:r>
        <w:rPr>
          <w:color w:val="0462C1"/>
          <w:sz w:val="24"/>
          <w:szCs w:val="24"/>
        </w:rPr>
        <w:t xml:space="preserve"> </w:t>
      </w:r>
      <w:hyperlink r:id="rId36">
        <w:r>
          <w:rPr>
            <w:color w:val="0462C1"/>
            <w:sz w:val="24"/>
            <w:szCs w:val="24"/>
          </w:rPr>
          <w:t>4f34885caa06bf6976768c74</w:t>
        </w:r>
      </w:hyperlink>
    </w:p>
    <w:p w14:paraId="0E826A53" w14:textId="77777777" w:rsidR="001F72F2" w:rsidRDefault="002719B2">
      <w:pPr>
        <w:spacing w:before="1" w:line="360" w:lineRule="auto"/>
        <w:ind w:right="257"/>
        <w:rPr>
          <w:sz w:val="24"/>
          <w:szCs w:val="24"/>
        </w:rPr>
      </w:pPr>
      <w:r>
        <w:rPr>
          <w:sz w:val="24"/>
          <w:szCs w:val="24"/>
        </w:rPr>
        <w:t xml:space="preserve">Presidencia de la República. (2010). </w:t>
      </w:r>
      <w:proofErr w:type="gramStart"/>
      <w:r>
        <w:rPr>
          <w:sz w:val="24"/>
          <w:szCs w:val="24"/>
        </w:rPr>
        <w:t>Ley N.º</w:t>
      </w:r>
      <w:proofErr w:type="gramEnd"/>
      <w:r>
        <w:rPr>
          <w:sz w:val="24"/>
          <w:szCs w:val="24"/>
        </w:rPr>
        <w:t xml:space="preserve"> 29524 “Ley que reconoce la sordoceguera como discapacidad única y establece disposiciones para la atención de personas sordociegas”. Plataforma Digital Única del Estado Peruano. </w:t>
      </w:r>
      <w:hyperlink r:id="rId37">
        <w:r>
          <w:rPr>
            <w:color w:val="0462C1"/>
            <w:sz w:val="24"/>
            <w:szCs w:val="24"/>
          </w:rPr>
          <w:t>https://www.gob.pe/institucion/minedu/normas-legales/118420-29524</w:t>
        </w:r>
      </w:hyperlink>
    </w:p>
    <w:p w14:paraId="0E826A54" w14:textId="77777777" w:rsidR="001F72F2" w:rsidRDefault="002719B2">
      <w:pPr>
        <w:tabs>
          <w:tab w:val="left" w:pos="2853"/>
          <w:tab w:val="left" w:pos="4346"/>
          <w:tab w:val="left" w:pos="5385"/>
          <w:tab w:val="left" w:pos="6373"/>
          <w:tab w:val="left" w:pos="7095"/>
          <w:tab w:val="left" w:pos="8204"/>
        </w:tabs>
        <w:spacing w:line="360" w:lineRule="auto"/>
        <w:ind w:right="258"/>
        <w:rPr>
          <w:sz w:val="24"/>
          <w:szCs w:val="24"/>
        </w:rPr>
      </w:pPr>
      <w:r>
        <w:rPr>
          <w:sz w:val="24"/>
          <w:szCs w:val="24"/>
        </w:rPr>
        <w:t xml:space="preserve">Presidencia de la República. (2012). </w:t>
      </w:r>
      <w:proofErr w:type="gramStart"/>
      <w:r>
        <w:rPr>
          <w:sz w:val="24"/>
          <w:szCs w:val="24"/>
        </w:rPr>
        <w:t>Ley N.º</w:t>
      </w:r>
      <w:proofErr w:type="gramEnd"/>
      <w:r>
        <w:rPr>
          <w:sz w:val="24"/>
          <w:szCs w:val="24"/>
        </w:rPr>
        <w:t xml:space="preserve"> 29973 “Ley General de la Persona con Discapacidad”.</w:t>
      </w:r>
      <w:r>
        <w:rPr>
          <w:sz w:val="24"/>
          <w:szCs w:val="24"/>
        </w:rPr>
        <w:tab/>
        <w:t>Plataforma</w:t>
      </w:r>
      <w:r>
        <w:rPr>
          <w:sz w:val="24"/>
          <w:szCs w:val="24"/>
        </w:rPr>
        <w:tab/>
        <w:t>Digital</w:t>
      </w:r>
      <w:r>
        <w:rPr>
          <w:sz w:val="24"/>
          <w:szCs w:val="24"/>
        </w:rPr>
        <w:tab/>
        <w:t>Única</w:t>
      </w:r>
      <w:r>
        <w:rPr>
          <w:sz w:val="24"/>
          <w:szCs w:val="24"/>
        </w:rPr>
        <w:tab/>
        <w:t>del</w:t>
      </w:r>
      <w:r>
        <w:rPr>
          <w:sz w:val="24"/>
          <w:szCs w:val="24"/>
        </w:rPr>
        <w:tab/>
        <w:t>Estado</w:t>
      </w:r>
      <w:r>
        <w:rPr>
          <w:sz w:val="24"/>
          <w:szCs w:val="24"/>
        </w:rPr>
        <w:tab/>
        <w:t xml:space="preserve">Peruano. </w:t>
      </w:r>
      <w:hyperlink r:id="rId38">
        <w:r>
          <w:rPr>
            <w:color w:val="0462C1"/>
            <w:sz w:val="24"/>
            <w:szCs w:val="24"/>
          </w:rPr>
          <w:t>https://www.gob.pe/institucion/congreso-de-la-republica/normas-legales/211941-</w:t>
        </w:r>
      </w:hyperlink>
      <w:r>
        <w:rPr>
          <w:color w:val="0462C1"/>
          <w:sz w:val="24"/>
          <w:szCs w:val="24"/>
        </w:rPr>
        <w:t xml:space="preserve"> </w:t>
      </w:r>
      <w:hyperlink r:id="rId39">
        <w:r>
          <w:rPr>
            <w:color w:val="0462C1"/>
            <w:sz w:val="24"/>
            <w:szCs w:val="24"/>
          </w:rPr>
          <w:t>29973</w:t>
        </w:r>
      </w:hyperlink>
    </w:p>
    <w:p w14:paraId="0E826A55" w14:textId="77777777" w:rsidR="001F72F2" w:rsidRDefault="002719B2">
      <w:pPr>
        <w:tabs>
          <w:tab w:val="left" w:pos="2229"/>
          <w:tab w:val="left" w:pos="2692"/>
          <w:tab w:val="left" w:pos="3533"/>
          <w:tab w:val="left" w:pos="4888"/>
          <w:tab w:val="left" w:pos="5790"/>
          <w:tab w:val="left" w:pos="6644"/>
          <w:tab w:val="left" w:pos="7229"/>
          <w:tab w:val="left" w:pos="8206"/>
        </w:tabs>
        <w:spacing w:line="360" w:lineRule="auto"/>
        <w:ind w:right="252"/>
        <w:rPr>
          <w:sz w:val="24"/>
          <w:szCs w:val="24"/>
        </w:rPr>
      </w:pPr>
      <w:r>
        <w:rPr>
          <w:sz w:val="24"/>
          <w:szCs w:val="24"/>
        </w:rPr>
        <w:t xml:space="preserve">Presidencia de la República. (2021). Decreto Supremo </w:t>
      </w:r>
      <w:proofErr w:type="spellStart"/>
      <w:r>
        <w:rPr>
          <w:sz w:val="24"/>
          <w:szCs w:val="24"/>
        </w:rPr>
        <w:t>Nº</w:t>
      </w:r>
      <w:proofErr w:type="spellEnd"/>
      <w:r>
        <w:rPr>
          <w:sz w:val="24"/>
          <w:szCs w:val="24"/>
        </w:rPr>
        <w:t xml:space="preserve"> 007-2021-MIMP “Decreto supremo que aprueba la política nacional multisectorial en discapacidad para el desarrollo</w:t>
      </w:r>
      <w:r>
        <w:rPr>
          <w:sz w:val="24"/>
          <w:szCs w:val="24"/>
        </w:rPr>
        <w:tab/>
        <w:t>al</w:t>
      </w:r>
      <w:r>
        <w:rPr>
          <w:sz w:val="24"/>
          <w:szCs w:val="24"/>
        </w:rPr>
        <w:tab/>
        <w:t>2030.</w:t>
      </w:r>
      <w:r>
        <w:rPr>
          <w:sz w:val="24"/>
          <w:szCs w:val="24"/>
        </w:rPr>
        <w:tab/>
        <w:t>Plataforma</w:t>
      </w:r>
      <w:r>
        <w:rPr>
          <w:sz w:val="24"/>
          <w:szCs w:val="24"/>
        </w:rPr>
        <w:tab/>
        <w:t>Digital</w:t>
      </w:r>
      <w:r>
        <w:rPr>
          <w:sz w:val="24"/>
          <w:szCs w:val="24"/>
        </w:rPr>
        <w:tab/>
        <w:t>Única</w:t>
      </w:r>
      <w:r>
        <w:rPr>
          <w:sz w:val="24"/>
          <w:szCs w:val="24"/>
        </w:rPr>
        <w:tab/>
        <w:t>del</w:t>
      </w:r>
      <w:r>
        <w:rPr>
          <w:sz w:val="24"/>
          <w:szCs w:val="24"/>
        </w:rPr>
        <w:tab/>
        <w:t>Estado</w:t>
      </w:r>
      <w:r>
        <w:rPr>
          <w:sz w:val="24"/>
          <w:szCs w:val="24"/>
        </w:rPr>
        <w:tab/>
        <w:t xml:space="preserve">Peruano. </w:t>
      </w:r>
      <w:hyperlink r:id="rId40">
        <w:r>
          <w:rPr>
            <w:color w:val="0462C1"/>
            <w:sz w:val="24"/>
            <w:szCs w:val="24"/>
          </w:rPr>
          <w:t>https://www.gob.pe/institucion/conadis/informes-publicaciones/1952667-politica-</w:t>
        </w:r>
      </w:hyperlink>
      <w:r>
        <w:rPr>
          <w:color w:val="0462C1"/>
          <w:sz w:val="24"/>
          <w:szCs w:val="24"/>
        </w:rPr>
        <w:t xml:space="preserve"> </w:t>
      </w:r>
      <w:hyperlink r:id="rId41">
        <w:r>
          <w:rPr>
            <w:color w:val="0462C1"/>
            <w:sz w:val="24"/>
            <w:szCs w:val="24"/>
          </w:rPr>
          <w:t>nacional-multisectorial-en-discapacidad-para-el-desarrollo-al-2030</w:t>
        </w:r>
      </w:hyperlink>
    </w:p>
    <w:p w14:paraId="0E826A56" w14:textId="77777777" w:rsidR="001F72F2" w:rsidRDefault="002719B2">
      <w:pPr>
        <w:tabs>
          <w:tab w:val="left" w:pos="2851"/>
          <w:tab w:val="left" w:pos="4687"/>
          <w:tab w:val="left" w:pos="6252"/>
          <w:tab w:val="left" w:pos="8208"/>
        </w:tabs>
        <w:spacing w:line="360" w:lineRule="auto"/>
        <w:ind w:right="255"/>
        <w:rPr>
          <w:sz w:val="24"/>
          <w:szCs w:val="24"/>
        </w:rPr>
      </w:pPr>
      <w:r>
        <w:rPr>
          <w:sz w:val="24"/>
          <w:szCs w:val="24"/>
        </w:rPr>
        <w:t xml:space="preserve">Presidencia de la República. (2023). </w:t>
      </w:r>
      <w:proofErr w:type="gramStart"/>
      <w:r>
        <w:rPr>
          <w:sz w:val="24"/>
          <w:szCs w:val="24"/>
        </w:rPr>
        <w:t>Ley N.º</w:t>
      </w:r>
      <w:proofErr w:type="gramEnd"/>
      <w:r>
        <w:rPr>
          <w:sz w:val="24"/>
          <w:szCs w:val="24"/>
        </w:rPr>
        <w:t xml:space="preserve"> 31814 “Ley que promueve el uso de la inteligencia artificial en favor del desarrollo económico y social del país”. Plataforma </w:t>
      </w:r>
      <w:r>
        <w:rPr>
          <w:sz w:val="24"/>
          <w:szCs w:val="24"/>
        </w:rPr>
        <w:lastRenderedPageBreak/>
        <w:t>Digital</w:t>
      </w:r>
      <w:r>
        <w:rPr>
          <w:sz w:val="24"/>
          <w:szCs w:val="24"/>
        </w:rPr>
        <w:tab/>
        <w:t>Única</w:t>
      </w:r>
      <w:r>
        <w:rPr>
          <w:sz w:val="24"/>
          <w:szCs w:val="24"/>
        </w:rPr>
        <w:tab/>
        <w:t>del</w:t>
      </w:r>
      <w:r>
        <w:rPr>
          <w:sz w:val="24"/>
          <w:szCs w:val="24"/>
        </w:rPr>
        <w:tab/>
        <w:t>Estado</w:t>
      </w:r>
      <w:r>
        <w:rPr>
          <w:sz w:val="24"/>
          <w:szCs w:val="24"/>
        </w:rPr>
        <w:tab/>
        <w:t xml:space="preserve">Peruano. </w:t>
      </w:r>
      <w:hyperlink r:id="rId42">
        <w:r>
          <w:rPr>
            <w:color w:val="0462C1"/>
            <w:sz w:val="24"/>
            <w:szCs w:val="24"/>
          </w:rPr>
          <w:t>https://cdn.www.gob.pe/uploads/document/file/5038703/ley-que-promueve-el-uso</w:t>
        </w:r>
      </w:hyperlink>
      <w:r>
        <w:rPr>
          <w:color w:val="0462C1"/>
          <w:sz w:val="24"/>
          <w:szCs w:val="24"/>
        </w:rPr>
        <w:t xml:space="preserve"> </w:t>
      </w:r>
      <w:hyperlink r:id="rId43">
        <w:r>
          <w:rPr>
            <w:color w:val="0462C1"/>
            <w:sz w:val="24"/>
            <w:szCs w:val="24"/>
          </w:rPr>
          <w:t>de-la-inteligencia-artificial-en-fav-ley-n-31814.pdf</w:t>
        </w:r>
      </w:hyperlink>
    </w:p>
    <w:p w14:paraId="0E826A57" w14:textId="77777777" w:rsidR="001F72F2" w:rsidRDefault="002719B2">
      <w:pPr>
        <w:spacing w:line="360" w:lineRule="auto"/>
        <w:ind w:right="256"/>
        <w:rPr>
          <w:sz w:val="24"/>
          <w:szCs w:val="24"/>
        </w:rPr>
      </w:pPr>
      <w:r>
        <w:rPr>
          <w:sz w:val="24"/>
          <w:szCs w:val="24"/>
        </w:rPr>
        <w:t xml:space="preserve">Presidencia de la República. (2025). Decreto Supremo que aprueba el Reglamento de la Ley </w:t>
      </w:r>
      <w:proofErr w:type="spellStart"/>
      <w:r>
        <w:rPr>
          <w:sz w:val="24"/>
          <w:szCs w:val="24"/>
        </w:rPr>
        <w:t>Nº</w:t>
      </w:r>
      <w:proofErr w:type="spellEnd"/>
      <w:r>
        <w:rPr>
          <w:sz w:val="24"/>
          <w:szCs w:val="24"/>
        </w:rPr>
        <w:t xml:space="preserve"> 31814, Ley que promueve el uso de la inteligencia artificial en favor del desarrollo económico y social del país – Decreto Supremo. Plataforma Digital Única del Estado Peruano. </w:t>
      </w:r>
      <w:hyperlink r:id="rId44">
        <w:r>
          <w:rPr>
            <w:color w:val="0462C1"/>
            <w:sz w:val="24"/>
            <w:szCs w:val="24"/>
          </w:rPr>
          <w:t>https://busquedas.elperuano.pe/dispositivo/NL/2436426-1</w:t>
        </w:r>
      </w:hyperlink>
    </w:p>
    <w:p w14:paraId="0E826A58" w14:textId="77777777" w:rsidR="001F72F2" w:rsidRDefault="002719B2">
      <w:pPr>
        <w:spacing w:line="360" w:lineRule="auto"/>
        <w:rPr>
          <w:sz w:val="24"/>
          <w:szCs w:val="24"/>
        </w:rPr>
      </w:pPr>
      <w:proofErr w:type="spellStart"/>
      <w:r>
        <w:rPr>
          <w:sz w:val="24"/>
          <w:szCs w:val="24"/>
        </w:rPr>
        <w:t>Romañach</w:t>
      </w:r>
      <w:proofErr w:type="spellEnd"/>
      <w:r>
        <w:rPr>
          <w:sz w:val="24"/>
          <w:szCs w:val="24"/>
        </w:rPr>
        <w:t>, J. (2009). Bioética al otro lado del espejo. Diversitas Ediciones.</w:t>
      </w:r>
    </w:p>
    <w:p w14:paraId="0E826A59" w14:textId="77777777" w:rsidR="001F72F2" w:rsidRDefault="002719B2">
      <w:pPr>
        <w:spacing w:line="360" w:lineRule="auto"/>
        <w:rPr>
          <w:sz w:val="24"/>
          <w:szCs w:val="24"/>
        </w:rPr>
      </w:pPr>
      <w:r>
        <w:rPr>
          <w:sz w:val="24"/>
          <w:szCs w:val="24"/>
        </w:rPr>
        <w:t xml:space="preserve">Russell, S., &amp; Norvig, P. (2021). Artificial </w:t>
      </w:r>
      <w:proofErr w:type="spellStart"/>
      <w:r>
        <w:rPr>
          <w:sz w:val="24"/>
          <w:szCs w:val="24"/>
        </w:rPr>
        <w:t>Intelligence</w:t>
      </w:r>
      <w:proofErr w:type="spellEnd"/>
      <w:r>
        <w:rPr>
          <w:sz w:val="24"/>
          <w:szCs w:val="24"/>
        </w:rPr>
        <w:t xml:space="preserve">: A Modern </w:t>
      </w:r>
      <w:proofErr w:type="spellStart"/>
      <w:r>
        <w:rPr>
          <w:sz w:val="24"/>
          <w:szCs w:val="24"/>
        </w:rPr>
        <w:t>Approach</w:t>
      </w:r>
      <w:proofErr w:type="spellEnd"/>
      <w:r>
        <w:rPr>
          <w:sz w:val="24"/>
          <w:szCs w:val="24"/>
        </w:rPr>
        <w:t xml:space="preserve"> (4.ª ed.). Pearson. Seminario-Hurtado, N., &amp; Torres </w:t>
      </w:r>
      <w:proofErr w:type="spellStart"/>
      <w:r>
        <w:rPr>
          <w:sz w:val="24"/>
          <w:szCs w:val="24"/>
        </w:rPr>
        <w:t>Inche</w:t>
      </w:r>
      <w:proofErr w:type="spellEnd"/>
      <w:r>
        <w:rPr>
          <w:sz w:val="24"/>
          <w:szCs w:val="24"/>
        </w:rPr>
        <w:t xml:space="preserve">, J. C. (2025). Acceso a la justicia para personas con discapacidad en el Perú. Revista De Investigación De La Academia De La Magistratura, 6(10), 15-26. </w:t>
      </w:r>
      <w:hyperlink r:id="rId45">
        <w:r>
          <w:rPr>
            <w:color w:val="0462C1"/>
            <w:sz w:val="24"/>
            <w:szCs w:val="24"/>
          </w:rPr>
          <w:t>https://doi.org/10.58581/rev.amag.2025.v6n10.01</w:t>
        </w:r>
      </w:hyperlink>
      <w:r>
        <w:rPr>
          <w:color w:val="0462C1"/>
          <w:sz w:val="24"/>
          <w:szCs w:val="24"/>
        </w:rPr>
        <w:t xml:space="preserve"> </w:t>
      </w:r>
      <w:r>
        <w:rPr>
          <w:sz w:val="24"/>
          <w:szCs w:val="24"/>
        </w:rPr>
        <w:t xml:space="preserve">Servicio Nacional de la Discapacidad [SENADIS]. (2023). Estrategia de Desarrollo Local Inclusivo 2023: Orientaciones Técnicas. Ministerio de Desarrollo Social y Familia, Gobierno de Chile. </w:t>
      </w:r>
      <w:hyperlink r:id="rId46">
        <w:r>
          <w:rPr>
            <w:color w:val="0462C1"/>
            <w:sz w:val="24"/>
            <w:szCs w:val="24"/>
          </w:rPr>
          <w:t>https://www.senadis.gob.cl/descarga/i/7375</w:t>
        </w:r>
      </w:hyperlink>
    </w:p>
    <w:p w14:paraId="0E826A5A" w14:textId="77777777" w:rsidR="001F72F2" w:rsidRDefault="002719B2">
      <w:pPr>
        <w:pBdr>
          <w:top w:val="nil"/>
          <w:left w:val="nil"/>
          <w:bottom w:val="nil"/>
          <w:right w:val="nil"/>
          <w:between w:val="nil"/>
        </w:pBdr>
        <w:spacing w:line="360" w:lineRule="auto"/>
        <w:rPr>
          <w:color w:val="000000"/>
          <w:sz w:val="24"/>
          <w:szCs w:val="24"/>
        </w:rPr>
      </w:pPr>
      <w:r>
        <w:rPr>
          <w:color w:val="000000"/>
          <w:sz w:val="24"/>
          <w:szCs w:val="24"/>
        </w:rPr>
        <w:t>Teixeira, S. T., Orengo, B. S., &amp; Costa, P. G. P. (2022). NOVAS TECNOLOGIAS E DIREITO: UMA ANÁLISE DO ACESSO À JUSTIÇA NA ERA DIGITAL. Revista</w:t>
      </w:r>
    </w:p>
    <w:p w14:paraId="0E826A5B" w14:textId="77777777" w:rsidR="001F72F2" w:rsidRDefault="002719B2">
      <w:pPr>
        <w:pBdr>
          <w:top w:val="nil"/>
          <w:left w:val="nil"/>
          <w:bottom w:val="nil"/>
          <w:right w:val="nil"/>
          <w:between w:val="nil"/>
        </w:pBdr>
        <w:spacing w:line="360" w:lineRule="auto"/>
        <w:ind w:right="355"/>
        <w:rPr>
          <w:color w:val="000000"/>
          <w:sz w:val="24"/>
          <w:szCs w:val="24"/>
        </w:rPr>
      </w:pPr>
      <w:proofErr w:type="spellStart"/>
      <w:r>
        <w:rPr>
          <w:color w:val="000000"/>
          <w:sz w:val="24"/>
          <w:szCs w:val="24"/>
        </w:rPr>
        <w:t>Eletrônica</w:t>
      </w:r>
      <w:proofErr w:type="spellEnd"/>
      <w:r>
        <w:rPr>
          <w:color w:val="000000"/>
          <w:sz w:val="24"/>
          <w:szCs w:val="24"/>
        </w:rPr>
        <w:t xml:space="preserve"> De </w:t>
      </w:r>
      <w:proofErr w:type="spellStart"/>
      <w:r>
        <w:rPr>
          <w:color w:val="000000"/>
          <w:sz w:val="24"/>
          <w:szCs w:val="24"/>
        </w:rPr>
        <w:t>Direito</w:t>
      </w:r>
      <w:proofErr w:type="spellEnd"/>
      <w:r>
        <w:rPr>
          <w:color w:val="000000"/>
          <w:sz w:val="24"/>
          <w:szCs w:val="24"/>
        </w:rPr>
        <w:t xml:space="preserve"> </w:t>
      </w:r>
      <w:proofErr w:type="spellStart"/>
      <w:r>
        <w:rPr>
          <w:color w:val="000000"/>
          <w:sz w:val="24"/>
          <w:szCs w:val="24"/>
        </w:rPr>
        <w:t>Processual</w:t>
      </w:r>
      <w:proofErr w:type="spellEnd"/>
      <w:r>
        <w:rPr>
          <w:color w:val="000000"/>
          <w:sz w:val="24"/>
          <w:szCs w:val="24"/>
        </w:rPr>
        <w:t xml:space="preserve">, 23(2). </w:t>
      </w:r>
      <w:hyperlink r:id="rId47">
        <w:r>
          <w:rPr>
            <w:color w:val="1155CC"/>
            <w:sz w:val="24"/>
            <w:szCs w:val="24"/>
            <w:u w:val="single"/>
          </w:rPr>
          <w:t>https://doi.org/10.12957/redp.2022.63093</w:t>
        </w:r>
      </w:hyperlink>
      <w:r>
        <w:rPr>
          <w:color w:val="000000"/>
          <w:sz w:val="24"/>
          <w:szCs w:val="24"/>
        </w:rPr>
        <w:t xml:space="preserve">  Tribunal Constitucional del Perú. (2018). Sentencia </w:t>
      </w:r>
      <w:proofErr w:type="spellStart"/>
      <w:r>
        <w:rPr>
          <w:color w:val="000000"/>
          <w:sz w:val="24"/>
          <w:szCs w:val="24"/>
        </w:rPr>
        <w:t>Exp</w:t>
      </w:r>
      <w:proofErr w:type="spellEnd"/>
      <w:r>
        <w:rPr>
          <w:color w:val="000000"/>
          <w:sz w:val="24"/>
          <w:szCs w:val="24"/>
        </w:rPr>
        <w:t xml:space="preserve">. N.º 02876-2018-PHC/TC Tribunal Constitucional del Perú. (2020). Sentencia </w:t>
      </w:r>
      <w:proofErr w:type="spellStart"/>
      <w:r>
        <w:rPr>
          <w:color w:val="000000"/>
          <w:sz w:val="24"/>
          <w:szCs w:val="24"/>
        </w:rPr>
        <w:t>Exp</w:t>
      </w:r>
      <w:proofErr w:type="spellEnd"/>
      <w:r>
        <w:rPr>
          <w:color w:val="000000"/>
          <w:sz w:val="24"/>
          <w:szCs w:val="24"/>
        </w:rPr>
        <w:t xml:space="preserve">. N.º 00471-2020-PHC/TC Tribunal Constitucional del Perú. (2021). Sentencia </w:t>
      </w:r>
      <w:proofErr w:type="spellStart"/>
      <w:r>
        <w:rPr>
          <w:color w:val="000000"/>
          <w:sz w:val="24"/>
          <w:szCs w:val="24"/>
        </w:rPr>
        <w:t>Exp</w:t>
      </w:r>
      <w:proofErr w:type="spellEnd"/>
      <w:r>
        <w:rPr>
          <w:color w:val="000000"/>
          <w:sz w:val="24"/>
          <w:szCs w:val="24"/>
        </w:rPr>
        <w:t>. N.º 03583-2021-PA/TC</w:t>
      </w:r>
    </w:p>
    <w:p w14:paraId="0E826A5C" w14:textId="77777777" w:rsidR="001F72F2" w:rsidRDefault="002719B2">
      <w:pPr>
        <w:tabs>
          <w:tab w:val="left" w:pos="1492"/>
          <w:tab w:val="left" w:pos="2417"/>
          <w:tab w:val="left" w:pos="4234"/>
          <w:tab w:val="left" w:pos="5008"/>
          <w:tab w:val="left" w:pos="5406"/>
          <w:tab w:val="left" w:pos="6097"/>
          <w:tab w:val="left" w:pos="6570"/>
          <w:tab w:val="left" w:pos="6968"/>
          <w:tab w:val="left" w:pos="8293"/>
        </w:tabs>
        <w:spacing w:line="360" w:lineRule="auto"/>
        <w:ind w:right="256"/>
        <w:rPr>
          <w:sz w:val="24"/>
          <w:szCs w:val="24"/>
        </w:rPr>
      </w:pPr>
      <w:r>
        <w:rPr>
          <w:sz w:val="24"/>
          <w:szCs w:val="24"/>
        </w:rPr>
        <w:t>UNESCO.</w:t>
      </w:r>
      <w:r>
        <w:rPr>
          <w:sz w:val="24"/>
          <w:szCs w:val="24"/>
        </w:rPr>
        <w:tab/>
        <w:t>(2022).</w:t>
      </w:r>
      <w:r>
        <w:rPr>
          <w:sz w:val="24"/>
          <w:szCs w:val="24"/>
        </w:rPr>
        <w:tab/>
        <w:t>Recomendación</w:t>
      </w:r>
      <w:r>
        <w:rPr>
          <w:sz w:val="24"/>
          <w:szCs w:val="24"/>
        </w:rPr>
        <w:tab/>
        <w:t>sobre</w:t>
      </w:r>
      <w:r>
        <w:rPr>
          <w:sz w:val="24"/>
          <w:szCs w:val="24"/>
        </w:rPr>
        <w:tab/>
        <w:t>la</w:t>
      </w:r>
      <w:r>
        <w:rPr>
          <w:sz w:val="24"/>
          <w:szCs w:val="24"/>
        </w:rPr>
        <w:tab/>
        <w:t>ética</w:t>
      </w:r>
      <w:r>
        <w:rPr>
          <w:sz w:val="24"/>
          <w:szCs w:val="24"/>
        </w:rPr>
        <w:tab/>
        <w:t>de</w:t>
      </w:r>
      <w:r>
        <w:rPr>
          <w:sz w:val="24"/>
          <w:szCs w:val="24"/>
        </w:rPr>
        <w:tab/>
        <w:t>la</w:t>
      </w:r>
      <w:r>
        <w:rPr>
          <w:sz w:val="24"/>
          <w:szCs w:val="24"/>
        </w:rPr>
        <w:tab/>
        <w:t>inteligencia</w:t>
      </w:r>
      <w:r>
        <w:rPr>
          <w:sz w:val="24"/>
          <w:szCs w:val="24"/>
        </w:rPr>
        <w:tab/>
        <w:t xml:space="preserve">artificial. </w:t>
      </w:r>
      <w:r>
        <w:rPr>
          <w:color w:val="0462C1"/>
          <w:sz w:val="24"/>
          <w:szCs w:val="24"/>
        </w:rPr>
        <w:t>https://unesdoc.unesco.org/ark:/48223/pf0000381137_spa</w:t>
      </w:r>
    </w:p>
    <w:p w14:paraId="0E826A5D" w14:textId="77777777" w:rsidR="001F72F2" w:rsidRDefault="002719B2">
      <w:pPr>
        <w:spacing w:before="1" w:line="360" w:lineRule="auto"/>
        <w:rPr>
          <w:sz w:val="24"/>
          <w:szCs w:val="24"/>
        </w:rPr>
      </w:pPr>
      <w:r>
        <w:rPr>
          <w:sz w:val="24"/>
          <w:szCs w:val="24"/>
        </w:rPr>
        <w:t xml:space="preserve">World </w:t>
      </w:r>
      <w:proofErr w:type="spellStart"/>
      <w:r>
        <w:rPr>
          <w:sz w:val="24"/>
          <w:szCs w:val="24"/>
        </w:rPr>
        <w:t>Federation</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Deafblind</w:t>
      </w:r>
      <w:proofErr w:type="spellEnd"/>
      <w:r>
        <w:rPr>
          <w:sz w:val="24"/>
          <w:szCs w:val="24"/>
        </w:rPr>
        <w:t xml:space="preserve">. (2018). Global </w:t>
      </w:r>
      <w:proofErr w:type="spellStart"/>
      <w:r>
        <w:rPr>
          <w:sz w:val="24"/>
          <w:szCs w:val="24"/>
        </w:rPr>
        <w:t>Report</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the</w:t>
      </w:r>
      <w:proofErr w:type="spellEnd"/>
      <w:r>
        <w:rPr>
          <w:sz w:val="24"/>
          <w:szCs w:val="24"/>
        </w:rPr>
        <w:t xml:space="preserve"> Situation </w:t>
      </w:r>
      <w:proofErr w:type="spellStart"/>
      <w:r>
        <w:rPr>
          <w:sz w:val="24"/>
          <w:szCs w:val="24"/>
        </w:rPr>
        <w:t>of</w:t>
      </w:r>
      <w:proofErr w:type="spellEnd"/>
      <w:r>
        <w:rPr>
          <w:sz w:val="24"/>
          <w:szCs w:val="24"/>
        </w:rPr>
        <w:t xml:space="preserve"> Persons </w:t>
      </w:r>
      <w:proofErr w:type="spellStart"/>
      <w:r>
        <w:rPr>
          <w:sz w:val="24"/>
          <w:szCs w:val="24"/>
        </w:rPr>
        <w:t>with</w:t>
      </w:r>
      <w:proofErr w:type="spellEnd"/>
      <w:r>
        <w:rPr>
          <w:sz w:val="24"/>
          <w:szCs w:val="24"/>
        </w:rPr>
        <w:t xml:space="preserve"> Deafblindness. </w:t>
      </w:r>
      <w:hyperlink r:id="rId48">
        <w:r>
          <w:rPr>
            <w:color w:val="0462C1"/>
            <w:sz w:val="24"/>
            <w:szCs w:val="24"/>
          </w:rPr>
          <w:t>https://wfdb.eu/wfdb-report-2018/</w:t>
        </w:r>
      </w:hyperlink>
    </w:p>
    <w:sectPr w:rsidR="001F72F2">
      <w:pgSz w:w="12240" w:h="15840"/>
      <w:pgMar w:top="1340" w:right="1440" w:bottom="280" w:left="14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914ED26-04AA-4944-8381-ACC0B016EECE}"/>
  </w:font>
  <w:font w:name="Calibri">
    <w:panose1 w:val="020F0502020204030204"/>
    <w:charset w:val="00"/>
    <w:family w:val="swiss"/>
    <w:pitch w:val="variable"/>
    <w:sig w:usb0="E4002EFF" w:usb1="C200247B" w:usb2="00000009" w:usb3="00000000" w:csb0="000001FF" w:csb1="00000000"/>
    <w:embedRegular r:id="rId2" w:fontKey="{A9295F1B-2ED0-4A34-8453-CAAB08E76E40}"/>
  </w:font>
  <w:font w:name="Cambria">
    <w:panose1 w:val="02040503050406030204"/>
    <w:charset w:val="00"/>
    <w:family w:val="roman"/>
    <w:pitch w:val="variable"/>
    <w:sig w:usb0="E00006FF" w:usb1="420024FF" w:usb2="02000000" w:usb3="00000000" w:csb0="0000019F" w:csb1="00000000"/>
    <w:embedRegular r:id="rId3" w:fontKey="{2ACC4478-03EA-4AA6-A54D-1B7C13F3707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00B29"/>
    <w:multiLevelType w:val="multilevel"/>
    <w:tmpl w:val="91284DEC"/>
    <w:lvl w:ilvl="0">
      <w:start w:val="1"/>
      <w:numFmt w:val="decimal"/>
      <w:lvlText w:val="%1."/>
      <w:lvlJc w:val="left"/>
      <w:pPr>
        <w:ind w:left="262" w:hanging="360"/>
      </w:pPr>
      <w:rPr>
        <w:rFonts w:ascii="Arial" w:eastAsia="Arial" w:hAnsi="Arial" w:cs="Arial"/>
        <w:b/>
        <w:bCs/>
        <w:i w:val="0"/>
        <w:iCs w:val="0"/>
        <w:sz w:val="22"/>
        <w:szCs w:val="22"/>
      </w:rPr>
    </w:lvl>
    <w:lvl w:ilvl="1">
      <w:numFmt w:val="bullet"/>
      <w:lvlText w:val="•"/>
      <w:lvlJc w:val="left"/>
      <w:pPr>
        <w:ind w:left="1170" w:hanging="360"/>
      </w:pPr>
    </w:lvl>
    <w:lvl w:ilvl="2">
      <w:numFmt w:val="bullet"/>
      <w:lvlText w:val="•"/>
      <w:lvlJc w:val="left"/>
      <w:pPr>
        <w:ind w:left="2080" w:hanging="360"/>
      </w:pPr>
    </w:lvl>
    <w:lvl w:ilvl="3">
      <w:numFmt w:val="bullet"/>
      <w:lvlText w:val="•"/>
      <w:lvlJc w:val="left"/>
      <w:pPr>
        <w:ind w:left="2990" w:hanging="360"/>
      </w:pPr>
    </w:lvl>
    <w:lvl w:ilvl="4">
      <w:numFmt w:val="bullet"/>
      <w:lvlText w:val="•"/>
      <w:lvlJc w:val="left"/>
      <w:pPr>
        <w:ind w:left="3900" w:hanging="360"/>
      </w:pPr>
    </w:lvl>
    <w:lvl w:ilvl="5">
      <w:numFmt w:val="bullet"/>
      <w:lvlText w:val="•"/>
      <w:lvlJc w:val="left"/>
      <w:pPr>
        <w:ind w:left="4810" w:hanging="360"/>
      </w:pPr>
    </w:lvl>
    <w:lvl w:ilvl="6">
      <w:numFmt w:val="bullet"/>
      <w:lvlText w:val="•"/>
      <w:lvlJc w:val="left"/>
      <w:pPr>
        <w:ind w:left="5720" w:hanging="360"/>
      </w:pPr>
    </w:lvl>
    <w:lvl w:ilvl="7">
      <w:numFmt w:val="bullet"/>
      <w:lvlText w:val="•"/>
      <w:lvlJc w:val="left"/>
      <w:pPr>
        <w:ind w:left="6630" w:hanging="360"/>
      </w:pPr>
    </w:lvl>
    <w:lvl w:ilvl="8">
      <w:numFmt w:val="bullet"/>
      <w:lvlText w:val="•"/>
      <w:lvlJc w:val="left"/>
      <w:pPr>
        <w:ind w:left="7540" w:hanging="360"/>
      </w:pPr>
    </w:lvl>
  </w:abstractNum>
  <w:abstractNum w:abstractNumId="1" w15:restartNumberingAfterBreak="0">
    <w:nsid w:val="3C1C4BE9"/>
    <w:multiLevelType w:val="multilevel"/>
    <w:tmpl w:val="2DC89B64"/>
    <w:lvl w:ilvl="0">
      <w:start w:val="1"/>
      <w:numFmt w:val="lowerLetter"/>
      <w:lvlText w:val="%1)"/>
      <w:lvlJc w:val="left"/>
      <w:pPr>
        <w:ind w:left="982" w:hanging="360"/>
      </w:pPr>
      <w:rPr>
        <w:rFonts w:ascii="Arial" w:eastAsia="Arial" w:hAnsi="Arial" w:cs="Arial"/>
        <w:b w:val="0"/>
        <w:bCs w:val="0"/>
        <w:i w:val="0"/>
        <w:iCs w:val="0"/>
        <w:sz w:val="22"/>
        <w:szCs w:val="22"/>
      </w:rPr>
    </w:lvl>
    <w:lvl w:ilvl="1">
      <w:numFmt w:val="bullet"/>
      <w:lvlText w:val="•"/>
      <w:lvlJc w:val="left"/>
      <w:pPr>
        <w:ind w:left="1818" w:hanging="360"/>
      </w:pPr>
    </w:lvl>
    <w:lvl w:ilvl="2">
      <w:numFmt w:val="bullet"/>
      <w:lvlText w:val="•"/>
      <w:lvlJc w:val="left"/>
      <w:pPr>
        <w:ind w:left="2656" w:hanging="360"/>
      </w:pPr>
    </w:lvl>
    <w:lvl w:ilvl="3">
      <w:numFmt w:val="bullet"/>
      <w:lvlText w:val="•"/>
      <w:lvlJc w:val="left"/>
      <w:pPr>
        <w:ind w:left="3494" w:hanging="360"/>
      </w:pPr>
    </w:lvl>
    <w:lvl w:ilvl="4">
      <w:numFmt w:val="bullet"/>
      <w:lvlText w:val="•"/>
      <w:lvlJc w:val="left"/>
      <w:pPr>
        <w:ind w:left="4332" w:hanging="360"/>
      </w:pPr>
    </w:lvl>
    <w:lvl w:ilvl="5">
      <w:numFmt w:val="bullet"/>
      <w:lvlText w:val="•"/>
      <w:lvlJc w:val="left"/>
      <w:pPr>
        <w:ind w:left="5170" w:hanging="360"/>
      </w:pPr>
    </w:lvl>
    <w:lvl w:ilvl="6">
      <w:numFmt w:val="bullet"/>
      <w:lvlText w:val="•"/>
      <w:lvlJc w:val="left"/>
      <w:pPr>
        <w:ind w:left="6008" w:hanging="360"/>
      </w:pPr>
    </w:lvl>
    <w:lvl w:ilvl="7">
      <w:numFmt w:val="bullet"/>
      <w:lvlText w:val="•"/>
      <w:lvlJc w:val="left"/>
      <w:pPr>
        <w:ind w:left="6846" w:hanging="360"/>
      </w:pPr>
    </w:lvl>
    <w:lvl w:ilvl="8">
      <w:numFmt w:val="bullet"/>
      <w:lvlText w:val="•"/>
      <w:lvlJc w:val="left"/>
      <w:pPr>
        <w:ind w:left="7684" w:hanging="360"/>
      </w:pPr>
    </w:lvl>
  </w:abstractNum>
  <w:num w:numId="1" w16cid:durableId="1371495324">
    <w:abstractNumId w:val="1"/>
  </w:num>
  <w:num w:numId="2" w16cid:durableId="210726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2F2"/>
    <w:rsid w:val="001F72F2"/>
    <w:rsid w:val="002719B2"/>
    <w:rsid w:val="003C53B9"/>
    <w:rsid w:val="00530242"/>
    <w:rsid w:val="00F85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69B1"/>
  <w15:docId w15:val="{EBE73AFA-3F36-42F8-9B77-EF0282DC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62"/>
      <w:outlineLvl w:val="0"/>
    </w:pPr>
    <w:rPr>
      <w:b/>
      <w:bCs/>
    </w:rPr>
  </w:style>
  <w:style w:type="paragraph" w:styleId="Heading2">
    <w:name w:val="heading 2"/>
    <w:basedOn w:val="Normal"/>
    <w:next w:val="Normal"/>
    <w:uiPriority w:val="9"/>
    <w:unhideWhenUsed/>
    <w:qFormat/>
    <w:pPr>
      <w:spacing w:line="252" w:lineRule="auto"/>
      <w:ind w:left="979" w:hanging="358"/>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89/frai.2024.1349668" TargetMode="External"/><Relationship Id="rId18" Type="http://schemas.openxmlformats.org/officeDocument/2006/relationships/hyperlink" Target="http://www.pcm.gob.pe/wp-content/uploads/2013/09/Constitucion-Pol%C3%ADtica-del-Peru-1993.pdf" TargetMode="External"/><Relationship Id="rId26" Type="http://schemas.openxmlformats.org/officeDocument/2006/relationships/hyperlink" Target="https://doi.org/10.1080/0960085X.2021.1927212" TargetMode="External"/><Relationship Id="rId39" Type="http://schemas.openxmlformats.org/officeDocument/2006/relationships/hyperlink" Target="https://www.gob.pe/institucion/congreso-de-la-republica/normas-legales/211941-29973" TargetMode="External"/><Relationship Id="rId21" Type="http://schemas.openxmlformats.org/officeDocument/2006/relationships/hyperlink" Target="https://doi.org/10.1007/s11948-020-00213-5" TargetMode="External"/><Relationship Id="rId34" Type="http://schemas.openxmlformats.org/officeDocument/2006/relationships/hyperlink" Target="https://www.pj.gob.pe/wps/wcm/connect/929c44804f34885caa06bf6976768c74/PROTOCOLO%2BDE%2BATENCI%C3%93N%2BJUDICIAL%2BPARA%2BPERSONAS%2BCON%2BDISCAPACIDAD%2B%2B%2BResoluci%C3%B3n.pdf?MOD=AJPERES&amp;CACHEID=929c44804f34885caa06bf6976768c74" TargetMode="External"/><Relationship Id="rId42" Type="http://schemas.openxmlformats.org/officeDocument/2006/relationships/hyperlink" Target="https://cdn.www.gob.pe/uploads/document/file/5038703/ley-que-promueve-el-uso%20de-la-inteligencia-artificial-en-fav-ley-n-31814.pdf" TargetMode="External"/><Relationship Id="rId47" Type="http://schemas.openxmlformats.org/officeDocument/2006/relationships/hyperlink" Target="https://doi.org/10.12957/redp.2022.63093" TargetMode="External"/><Relationship Id="rId50"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docs.org/es/CRPD/C/GC/6" TargetMode="External"/><Relationship Id="rId29" Type="http://schemas.openxmlformats.org/officeDocument/2006/relationships/hyperlink" Target="https://doi.org/10.5354/0719-5885.2021.60341" TargetMode="External"/><Relationship Id="rId11" Type="http://schemas.openxmlformats.org/officeDocument/2006/relationships/hyperlink" Target="https://dx.doi.org/10.4067/S0718-00122019000300277" TargetMode="External"/><Relationship Id="rId24" Type="http://schemas.openxmlformats.org/officeDocument/2006/relationships/hyperlink" Target="https://www.gob.pe/institucion/hcllh/noticias/1006193-que-es-y-como-tratar-la-sordoceguera" TargetMode="External"/><Relationship Id="rId32" Type="http://schemas.openxmlformats.org/officeDocument/2006/relationships/hyperlink" Target="https://doi.org/10.7160/eriesj.2024.170206" TargetMode="External"/><Relationship Id="rId37" Type="http://schemas.openxmlformats.org/officeDocument/2006/relationships/hyperlink" Target="https://www.gob.pe/institucion/minedu/normas-legales/118420-29524" TargetMode="External"/><Relationship Id="rId40" Type="http://schemas.openxmlformats.org/officeDocument/2006/relationships/hyperlink" Target="https://www.gob.pe/institucion/conadis/informes-publicaciones/1952667-politica-nacional-multisectorial-en-discapacidad-para-el-desarrollo-al-2030" TargetMode="External"/><Relationship Id="rId45" Type="http://schemas.openxmlformats.org/officeDocument/2006/relationships/hyperlink" Target="https://doi.org/10.58581/rev.amag.2025.v6n10.01" TargetMode="External"/><Relationship Id="rId5" Type="http://schemas.openxmlformats.org/officeDocument/2006/relationships/hyperlink" Target="mailto:2020100286@ucss.pe" TargetMode="External"/><Relationship Id="rId15" Type="http://schemas.openxmlformats.org/officeDocument/2006/relationships/hyperlink" Target="https://www.scjn.gob.mx/sites/default/files/pagina-micrositios/documentos/2018-08/observacion-general-n2-2014.docx" TargetMode="External"/><Relationship Id="rId23" Type="http://schemas.openxmlformats.org/officeDocument/2006/relationships/hyperlink" Target="https://www.gob.pe/institucion/hcllh/noticias/1006193-que-es-y-como-tratar-la-sordoceguera" TargetMode="External"/><Relationship Id="rId28" Type="http://schemas.openxmlformats.org/officeDocument/2006/relationships/hyperlink" Target="https://doi.org/10.5354/0719-5885.2021.60341" TargetMode="External"/><Relationship Id="rId36" Type="http://schemas.openxmlformats.org/officeDocument/2006/relationships/hyperlink" Target="https://www.pj.gob.pe/wps/wcm/connect/929c44804f34885caa06bf6976768c74/PROTOCOLO%2BDE%2BATENCI%C3%93N%2BJUDICIAL%2BPARA%2BPERSONAS%2BCON%2BDISCAPACIDAD%2B%2B%2BResoluci%C3%B3n.pdf?MOD=AJPERES&amp;CACHEID=929c44804f34885caa06bf6976768c74" TargetMode="External"/><Relationship Id="rId49" Type="http://schemas.openxmlformats.org/officeDocument/2006/relationships/fontTable" Target="fontTable.xml"/><Relationship Id="rId10" Type="http://schemas.openxmlformats.org/officeDocument/2006/relationships/hyperlink" Target="https://www.cedid.es/redis/index.php/redis/article/view/1064" TargetMode="External"/><Relationship Id="rId19" Type="http://schemas.openxmlformats.org/officeDocument/2006/relationships/hyperlink" Target="http://www.pcm.gob.pe/wp-content/uploads/2013/09/Constitucion-Pol%C3%ADtica-del-Peru-1993.pdf" TargetMode="External"/><Relationship Id="rId31" Type="http://schemas.openxmlformats.org/officeDocument/2006/relationships/hyperlink" Target="https://doi.org/10.5020/2317-2150.2019.10225" TargetMode="External"/><Relationship Id="rId44" Type="http://schemas.openxmlformats.org/officeDocument/2006/relationships/hyperlink" Target="https://busquedas.elperuano.pe/dispositivo/NL/2436426-1" TargetMode="External"/><Relationship Id="rId4" Type="http://schemas.openxmlformats.org/officeDocument/2006/relationships/webSettings" Target="webSettings.xml"/><Relationship Id="rId9" Type="http://schemas.openxmlformats.org/officeDocument/2006/relationships/hyperlink" Target="http://dx.doi.org/10.25330/2658" TargetMode="External"/><Relationship Id="rId14" Type="http://schemas.openxmlformats.org/officeDocument/2006/relationships/hyperlink" Target="https://www.scjn.gob.mx/sites/default/files/pagina-micrositios/documentos/2018-08/observacion-general-n2-2014.docx" TargetMode="External"/><Relationship Id="rId22" Type="http://schemas.openxmlformats.org/officeDocument/2006/relationships/hyperlink" Target="https://doi.org/10.17808/des.0.1787" TargetMode="External"/><Relationship Id="rId27" Type="http://schemas.openxmlformats.org/officeDocument/2006/relationships/hyperlink" Target="https://aisel.aisnet.org/cais/vol57/iss1/55/" TargetMode="External"/><Relationship Id="rId30" Type="http://schemas.openxmlformats.org/officeDocument/2006/relationships/hyperlink" Target="https://www.un.org/esa/socdev/enable/documents/tccconvs.pdf" TargetMode="External"/><Relationship Id="rId35" Type="http://schemas.openxmlformats.org/officeDocument/2006/relationships/hyperlink" Target="https://www.pj.gob.pe/wps/wcm/connect/929c44804f34885caa06bf6976768c74/PROTOCOLO%2BDE%2BATENCI%C3%93N%2BJUDICIAL%2BPARA%2BPERSONAS%2BCON%2BDISCAPACIDAD%2B%2B%2BResoluci%C3%B3n.pdf?MOD=AJPERES&amp;CACHEID=929c44804f34885caa06bf6976768c74" TargetMode="External"/><Relationship Id="rId43" Type="http://schemas.openxmlformats.org/officeDocument/2006/relationships/hyperlink" Target="https://cdn.www.gob.pe/uploads/document/file/5038703/ley-que-promueve-el-uso%20de-la-inteligencia-artificial-en-fav-ley-n-31814.pdf" TargetMode="External"/><Relationship Id="rId48" Type="http://schemas.openxmlformats.org/officeDocument/2006/relationships/hyperlink" Target="https://wfdb.eu/wfdb-report-2018/"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doi.org/10.71112/a3w2j631" TargetMode="External"/><Relationship Id="rId17" Type="http://schemas.openxmlformats.org/officeDocument/2006/relationships/hyperlink" Target="https://leyes.congreso.gob.pe/Documentos/Leyes/29127.pdf" TargetMode="External"/><Relationship Id="rId25" Type="http://schemas.openxmlformats.org/officeDocument/2006/relationships/hyperlink" Target="https://dialnet.unirioja.es/servlet/articulo?codigo=3344624" TargetMode="External"/><Relationship Id="rId33" Type="http://schemas.openxmlformats.org/officeDocument/2006/relationships/hyperlink" Target="https://www.pj.gob.pe/wps/wcm/connect/929c44804f34885caa06bf6976768c74/PROTOCOLO%2BDE%2BATENCI%C3%93N%2BJUDICIAL%2BPARA%2BPERSONAS%2BCON%2BDISCAPACIDAD%2B%2B%2BResoluci%C3%B3n.pdf?MOD=AJPERES&amp;CACHEID=929c44804f34885caa06bf6976768c74" TargetMode="External"/><Relationship Id="rId38" Type="http://schemas.openxmlformats.org/officeDocument/2006/relationships/hyperlink" Target="https://www.gob.pe/institucion/congreso-de-la-republica/normas-legales/211941-29973" TargetMode="External"/><Relationship Id="rId46" Type="http://schemas.openxmlformats.org/officeDocument/2006/relationships/hyperlink" Target="https://www.senadis.gob.cl/descarga/i/7375" TargetMode="External"/><Relationship Id="rId20" Type="http://schemas.openxmlformats.org/officeDocument/2006/relationships/hyperlink" Target="https://www.acnur.org/fileadmin/Documentos/BDL/2009/7037.pdf" TargetMode="External"/><Relationship Id="rId41" Type="http://schemas.openxmlformats.org/officeDocument/2006/relationships/hyperlink" Target="https://www.gob.pe/institucion/conadis/informes-publicaciones/1952667-politica-nacional-multisectorial-en-discapacidad-para-el-desarrollo-al-2030" TargetMode="External"/><Relationship Id="rId1" Type="http://schemas.openxmlformats.org/officeDocument/2006/relationships/numbering" Target="numbering.xml"/><Relationship Id="rId6" Type="http://schemas.openxmlformats.org/officeDocument/2006/relationships/hyperlink" Target="https://orcid.org/0009-0009-5560-070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6977</Words>
  <Characters>42704</Characters>
  <Application>Microsoft Office Word</Application>
  <DocSecurity>2</DocSecurity>
  <Lines>762</Lines>
  <Paragraphs>136</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49545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3</cp:revision>
  <dcterms:created xsi:type="dcterms:W3CDTF">2026-03-16T14:44:00Z</dcterms:created>
  <dcterms:modified xsi:type="dcterms:W3CDTF">2026-03-16T14:45:00Z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2025-10-31T00:00:00Z</vt:lpwstr>
  </property>
  <property fmtid="{D5CDD505-2E9C-101B-9397-08002B2CF9AE}" pid="3" name="Creator">
    <vt:lpwstr>Microsoft® Word para Microsoft 365</vt:lpwstr>
  </property>
  <property fmtid="{D5CDD505-2E9C-101B-9397-08002B2CF9AE}" pid="4" name="LastSaved">
    <vt:lpwstr>2026-02-28T00:00:00Z</vt:lpwstr>
  </property>
  <property fmtid="{D5CDD505-2E9C-101B-9397-08002B2CF9AE}" pid="5" name="Producer">
    <vt:lpwstr>Microsoft® Word para Microsoft 365</vt:lpwstr>
  </property>
</Properties>
</file>