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Clear"/>
        <w:tblpPr w:bottomFromText="425" w:vertAnchor="page" w:horzAnchor="page" w:tblpX="1135" w:tblpY="1135"/>
        <w:tblOverlap w:val="never"/>
        <w:tblW w:w="4981" w:type="pct"/>
        <w:shd w:val="clear" w:color="auto" w:fill="FFFFFF" w:themeFill="background1"/>
        <w:tblLayout w:type="fixed"/>
        <w:tblCellMar>
          <w:left w:w="0" w:type="dxa"/>
          <w:right w:w="0" w:type="dxa"/>
        </w:tblCellMar>
        <w:tblLook w:val="04A0" w:firstRow="1" w:lastRow="0" w:firstColumn="1" w:lastColumn="0" w:noHBand="0" w:noVBand="1"/>
      </w:tblPr>
      <w:tblGrid>
        <w:gridCol w:w="9601"/>
      </w:tblGrid>
      <w:tr w:rsidR="008A5E55" w:rsidRPr="000D5D39" w:rsidTr="002D6AEE">
        <w:trPr>
          <w:cantSplit/>
          <w:trHeight w:val="2699"/>
        </w:trPr>
        <w:tc>
          <w:tcPr>
            <w:tcW w:w="9601" w:type="dxa"/>
            <w:tcBorders>
              <w:bottom w:val="single" w:sz="4" w:space="0" w:color="004F59"/>
            </w:tcBorders>
            <w:shd w:val="clear" w:color="auto" w:fill="FFFFFF" w:themeFill="background1"/>
            <w:vAlign w:val="bottom"/>
          </w:tcPr>
          <w:p w:rsidR="008A5E55" w:rsidRPr="000D5D39" w:rsidRDefault="002D6AEE" w:rsidP="0005711E">
            <w:pPr>
              <w:pStyle w:val="NoSpacing"/>
              <w:ind w:left="2835" w:firstLine="4395"/>
            </w:pPr>
            <w:bookmarkStart w:id="0" w:name="_Toc362259574"/>
            <w:bookmarkStart w:id="1" w:name="_Toc362025674"/>
            <w:bookmarkStart w:id="2" w:name="_Toc361660212"/>
            <w:bookmarkStart w:id="3" w:name="_Toc361314397"/>
            <w:bookmarkStart w:id="4" w:name="_Toc358632737"/>
            <w:bookmarkStart w:id="5" w:name="_Toc370742703"/>
            <w:bookmarkStart w:id="6" w:name="_Toc369880030"/>
            <w:bookmarkStart w:id="7" w:name="_Toc369876267"/>
            <w:bookmarkStart w:id="8" w:name="_Toc369875151"/>
            <w:bookmarkStart w:id="9" w:name="_Toc369872887"/>
            <w:bookmarkStart w:id="10" w:name="_Toc369615666"/>
            <w:bookmarkStart w:id="11" w:name="_Toc369292239"/>
            <w:bookmarkStart w:id="12" w:name="_Toc369289987"/>
            <w:bookmarkStart w:id="13" w:name="_Toc369288644"/>
            <w:bookmarkStart w:id="14" w:name="_Toc369287796"/>
            <w:bookmarkStart w:id="15" w:name="_Toc369284263"/>
            <w:bookmarkStart w:id="16" w:name="_Toc369074785"/>
            <w:bookmarkStart w:id="17" w:name="_Toc369074536"/>
            <w:bookmarkStart w:id="18" w:name="_Toc368985220"/>
            <w:bookmarkStart w:id="19" w:name="_Toc368693167"/>
            <w:bookmarkStart w:id="20" w:name="_Toc368692863"/>
            <w:bookmarkStart w:id="21" w:name="_Toc368488893"/>
            <w:bookmarkStart w:id="22" w:name="_Toc368479952"/>
            <w:bookmarkStart w:id="23" w:name="_Toc368036952"/>
            <w:bookmarkStart w:id="24" w:name="_Toc367780714"/>
            <w:bookmarkStart w:id="25" w:name="_Toc367190209"/>
            <w:bookmarkStart w:id="26" w:name="_Toc367176002"/>
            <w:bookmarkStart w:id="27" w:name="_Toc362522398"/>
            <w:bookmarkStart w:id="28" w:name="_Toc362342695"/>
            <w:bookmarkStart w:id="29" w:name="_Toc467593560"/>
            <w:bookmarkStart w:id="30" w:name="_GoBack"/>
            <w:bookmarkEnd w:id="30"/>
            <w:r>
              <w:rPr>
                <w:noProof/>
                <w:lang w:eastAsia="en-GB"/>
              </w:rPr>
              <w:drawing>
                <wp:anchor distT="0" distB="0" distL="114300" distR="114300" simplePos="0" relativeHeight="251668991" behindDoc="0" locked="0" layoutInCell="1" allowOverlap="1" wp14:anchorId="3BC0FF86" wp14:editId="761789A6">
                  <wp:simplePos x="0" y="0"/>
                  <wp:positionH relativeFrom="column">
                    <wp:posOffset>4609465</wp:posOffset>
                  </wp:positionH>
                  <wp:positionV relativeFrom="paragraph">
                    <wp:posOffset>-1532255</wp:posOffset>
                  </wp:positionV>
                  <wp:extent cx="1479550" cy="1436370"/>
                  <wp:effectExtent l="0" t="0" r="6350" b="0"/>
                  <wp:wrapNone/>
                  <wp:docPr id="2" name="Picture 2" descr="C:\Users\ESchuetz\Downloads\SI-Logo-Teal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chuetz\Downloads\SI-Logo-Teal_(JPE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9550" cy="1436370"/>
                          </a:xfrm>
                          <a:prstGeom prst="rect">
                            <a:avLst/>
                          </a:prstGeom>
                          <a:noFill/>
                          <a:ln>
                            <a:noFill/>
                          </a:ln>
                        </pic:spPr>
                      </pic:pic>
                    </a:graphicData>
                  </a:graphic>
                  <wp14:sizeRelH relativeFrom="page">
                    <wp14:pctWidth>0</wp14:pctWidth>
                  </wp14:sizeRelH>
                  <wp14:sizeRelV relativeFrom="page">
                    <wp14:pctHeight>0</wp14:pctHeight>
                  </wp14:sizeRelV>
                </wp:anchor>
              </w:drawing>
            </w:r>
            <w:r w:rsidR="008A5E55" w:rsidRPr="000D5D39">
              <w:rPr>
                <w:noProof/>
                <w:lang w:eastAsia="en-GB"/>
              </w:rPr>
              <w:drawing>
                <wp:anchor distT="0" distB="0" distL="114300" distR="114300" simplePos="0" relativeHeight="251665408" behindDoc="0" locked="1" layoutInCell="1" allowOverlap="1" wp14:anchorId="00089A92" wp14:editId="651E90DA">
                  <wp:simplePos x="0" y="0"/>
                  <wp:positionH relativeFrom="page">
                    <wp:align>right</wp:align>
                  </wp:positionH>
                  <wp:positionV relativeFrom="page">
                    <wp:align>top</wp:align>
                  </wp:positionV>
                  <wp:extent cx="2160000" cy="2354400"/>
                  <wp:effectExtent l="0" t="0" r="0" b="0"/>
                  <wp:wrapSquare wrapText="bothSides"/>
                  <wp:docPr id="14" name="Sense Welsh Logo with Tagline" descr="Sense Welsh Logo with tagline" hidden="1" title="Sense Welsh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9" cstate="print">
                            <a:extLst>
                              <a:ext uri="{28A0092B-C50C-407E-A947-70E740481C1C}">
                                <a14:useLocalDpi xmlns:a14="http://schemas.microsoft.com/office/drawing/2010/main" val="0"/>
                              </a:ext>
                            </a:extLst>
                          </a:blip>
                          <a:srcRect b="-12956"/>
                          <a:stretch/>
                        </pic:blipFill>
                        <pic:spPr>
                          <a:xfrm>
                            <a:off x="0" y="0"/>
                            <a:ext cx="2160000" cy="2354400"/>
                          </a:xfrm>
                          <a:prstGeom prst="rect">
                            <a:avLst/>
                          </a:prstGeom>
                        </pic:spPr>
                      </pic:pic>
                    </a:graphicData>
                  </a:graphic>
                  <wp14:sizeRelH relativeFrom="page">
                    <wp14:pctWidth>0</wp14:pctWidth>
                  </wp14:sizeRelH>
                  <wp14:sizeRelV relativeFrom="page">
                    <wp14:pctHeight>0</wp14:pctHeight>
                  </wp14:sizeRelV>
                </wp:anchor>
              </w:drawing>
            </w:r>
            <w:r w:rsidR="00AA651D" w:rsidRPr="00AA651D">
              <w:rPr>
                <w:noProof/>
                <w:lang w:eastAsia="en-GB"/>
              </w:rPr>
              <w:drawing>
                <wp:anchor distT="0" distB="0" distL="114300" distR="114300" simplePos="0" relativeHeight="251666175" behindDoc="0" locked="1" layoutInCell="1" allowOverlap="1" wp14:anchorId="60A7F5C7" wp14:editId="268CC111">
                  <wp:simplePos x="723900" y="723900"/>
                  <wp:positionH relativeFrom="page">
                    <wp:align>right</wp:align>
                  </wp:positionH>
                  <wp:positionV relativeFrom="page">
                    <wp:align>top</wp:align>
                  </wp:positionV>
                  <wp:extent cx="2160000" cy="903600"/>
                  <wp:effectExtent l="0" t="0" r="0" b="0"/>
                  <wp:wrapSquare wrapText="bothSides"/>
                  <wp:docPr id="16" name="Sense Welsh Logo" descr="Sense Welsh Logo" hidden="1" title="Sense Welsh Logo">
                    <a:extLst xmlns:a="http://schemas.openxmlformats.org/drawingml/2006/main">
                      <a:ext uri="{FF2B5EF4-FFF2-40B4-BE49-F238E27FC236}">
                        <a16:creationId xmlns:a16="http://schemas.microsoft.com/office/drawing/2014/main" id="{C2C07271-879B-4E31-94C7-24CC831F8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C2C07271-879B-4E31-94C7-24CC831F88E0}"/>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b="-42491"/>
                          <a:stretch/>
                        </pic:blipFill>
                        <pic:spPr>
                          <a:xfrm>
                            <a:off x="0" y="0"/>
                            <a:ext cx="2160000" cy="903600"/>
                          </a:xfrm>
                          <a:prstGeom prst="rect">
                            <a:avLst/>
                          </a:prstGeom>
                        </pic:spPr>
                      </pic:pic>
                    </a:graphicData>
                  </a:graphic>
                  <wp14:sizeRelH relativeFrom="margin">
                    <wp14:pctWidth>0</wp14:pctWidth>
                  </wp14:sizeRelH>
                  <wp14:sizeRelV relativeFrom="margin">
                    <wp14:pctHeight>0</wp14:pctHeight>
                  </wp14:sizeRelV>
                </wp:anchor>
              </w:drawing>
            </w:r>
            <w:r w:rsidR="00D74275" w:rsidRPr="00D74275">
              <w:rPr>
                <w:noProof/>
                <w:lang w:eastAsia="en-GB"/>
              </w:rPr>
              <w:drawing>
                <wp:anchor distT="0" distB="0" distL="114300" distR="114300" simplePos="0" relativeHeight="251667967" behindDoc="0" locked="1" layoutInCell="1" allowOverlap="1" wp14:anchorId="00D760A0" wp14:editId="61A29D7C">
                  <wp:simplePos x="723900" y="723900"/>
                  <wp:positionH relativeFrom="page">
                    <wp:align>right</wp:align>
                  </wp:positionH>
                  <wp:positionV relativeFrom="page">
                    <wp:align>top</wp:align>
                  </wp:positionV>
                  <wp:extent cx="2160000" cy="738000"/>
                  <wp:effectExtent l="0" t="0" r="0" b="0"/>
                  <wp:wrapSquare wrapText="bothSides"/>
                  <wp:docPr id="6" name="Sense Logo" descr="Sense Logo" hidden="1" title="Sen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cstate="print">
                            <a:extLst>
                              <a:ext uri="{28A0092B-C50C-407E-A947-70E740481C1C}">
                                <a14:useLocalDpi xmlns:a14="http://schemas.microsoft.com/office/drawing/2010/main" val="0"/>
                              </a:ext>
                            </a:extLst>
                          </a:blip>
                          <a:srcRect t="-2" b="-60111"/>
                          <a:stretch/>
                        </pic:blipFill>
                        <pic:spPr>
                          <a:xfrm>
                            <a:off x="0" y="0"/>
                            <a:ext cx="2160000" cy="738000"/>
                          </a:xfrm>
                          <a:prstGeom prst="rect">
                            <a:avLst/>
                          </a:prstGeom>
                        </pic:spPr>
                      </pic:pic>
                    </a:graphicData>
                  </a:graphic>
                  <wp14:sizeRelH relativeFrom="margin">
                    <wp14:pctWidth>0</wp14:pctWidth>
                  </wp14:sizeRelH>
                  <wp14:sizeRelV relativeFrom="margin">
                    <wp14:pctHeight>0</wp14:pctHeight>
                  </wp14:sizeRelV>
                </wp:anchor>
              </w:drawing>
            </w:r>
          </w:p>
        </w:tc>
      </w:tr>
    </w:tbl>
    <w:p w:rsidR="00B05069" w:rsidRPr="00673713" w:rsidRDefault="00516035" w:rsidP="00673713">
      <w:pPr>
        <w:pStyle w:val="Heading1"/>
        <w:rPr>
          <w:color w:val="004F59"/>
          <w:sz w:val="48"/>
          <w:szCs w:val="48"/>
        </w:rPr>
      </w:pPr>
      <w:r w:rsidRPr="00673713">
        <w:rPr>
          <w:color w:val="004F59"/>
          <w:sz w:val="48"/>
          <w:szCs w:val="48"/>
        </w:rPr>
        <w:t>Summary of the first global report on deafblindness</w:t>
      </w:r>
    </w:p>
    <w:p w:rsidR="00516035" w:rsidRPr="00516035" w:rsidRDefault="00516035" w:rsidP="00D67161">
      <w:pPr>
        <w:pStyle w:val="DocTitle"/>
        <w:rPr>
          <w:color w:val="004F59"/>
          <w:sz w:val="20"/>
          <w:szCs w:val="20"/>
        </w:rPr>
      </w:pPr>
    </w:p>
    <w:p w:rsidR="00516035" w:rsidRPr="00516035" w:rsidRDefault="00516035" w:rsidP="00BC3EE6">
      <w:r w:rsidRPr="00516035">
        <w:t>The World Federation of the Deafblind (WFDB) has published the first ever global report on deafblindness in cooperation with Sense International, supported by the International Disability Alliance. The report examines whether the rights of persons with deafblindness as recognised in the Convention on the Rights of Persons with Disabilities (CRPD) are being met by governments across the world. Despite impressive achievements by individuals and specialist organisations, regrettably the report finds that overall the issues faced by persons with deafblindness have largely been ignored and persons with deafblindness are being ‘left behind’, contrary to the principle underpinning the Sustainable Development Goals (SDGs).</w:t>
      </w:r>
    </w:p>
    <w:p w:rsidR="00516035" w:rsidRPr="00516035" w:rsidRDefault="00516035" w:rsidP="00516035">
      <w:pPr>
        <w:pStyle w:val="Heading2"/>
        <w:rPr>
          <w:color w:val="004F59"/>
        </w:rPr>
      </w:pPr>
      <w:r>
        <w:rPr>
          <w:color w:val="004F59"/>
        </w:rPr>
        <w:t>Key findings</w:t>
      </w:r>
    </w:p>
    <w:p w:rsidR="00516035" w:rsidRDefault="00516035" w:rsidP="00516035">
      <w:pPr>
        <w:rPr>
          <w:rFonts w:cstheme="minorHAnsi"/>
        </w:rPr>
      </w:pPr>
      <w:r w:rsidRPr="00516035">
        <w:rPr>
          <w:rFonts w:cstheme="minorHAnsi"/>
        </w:rPr>
        <w:t>The report shows that around 0.2% of the world’s population is living with severe deafblindness. Analysis of prevalence data also found that 2% of the world’s population lives with ‘milder forms’ of deafblindness</w:t>
      </w:r>
      <w:r>
        <w:rPr>
          <w:rFonts w:cstheme="minorHAnsi"/>
        </w:rPr>
        <w:t>.</w:t>
      </w:r>
    </w:p>
    <w:p w:rsidR="00516035" w:rsidRPr="00516035" w:rsidRDefault="00516035" w:rsidP="00516035">
      <w:pPr>
        <w:rPr>
          <w:rFonts w:cstheme="minorHAnsi"/>
          <w:lang w:eastAsia="en-US"/>
        </w:rPr>
      </w:pPr>
      <w:r>
        <w:rPr>
          <w:rFonts w:cstheme="minorHAnsi"/>
        </w:rPr>
        <w:t>The research found:</w:t>
      </w:r>
    </w:p>
    <w:p w:rsidR="00516035" w:rsidRDefault="00516035" w:rsidP="00CA7B23">
      <w:pPr>
        <w:pStyle w:val="Bullet1"/>
        <w:numPr>
          <w:ilvl w:val="0"/>
          <w:numId w:val="38"/>
        </w:numPr>
      </w:pPr>
      <w:r>
        <w:t>Persons with deafblindness are more likely to be poor compared to persons with other types of disabilities and compared to persons without disabilities.</w:t>
      </w:r>
    </w:p>
    <w:p w:rsidR="00516035" w:rsidRDefault="00516035" w:rsidP="00CA7B23">
      <w:pPr>
        <w:pStyle w:val="Bullet1"/>
        <w:numPr>
          <w:ilvl w:val="0"/>
          <w:numId w:val="38"/>
        </w:numPr>
      </w:pPr>
      <w:r>
        <w:t>Families and households that include persons with deafblindness are more likely to be in the bottom 40% in terms of their socio-economic status.</w:t>
      </w:r>
    </w:p>
    <w:p w:rsidR="00516035" w:rsidRDefault="00516035" w:rsidP="00CA7B23">
      <w:pPr>
        <w:pStyle w:val="Bullet1"/>
        <w:numPr>
          <w:ilvl w:val="0"/>
          <w:numId w:val="38"/>
        </w:numPr>
      </w:pPr>
      <w:r>
        <w:lastRenderedPageBreak/>
        <w:t>Persons with deafblindness are ten times less likely to be employed than non-disabled persons, and 30% less likely to be employed than persons with other types of disabilities.</w:t>
      </w:r>
    </w:p>
    <w:p w:rsidR="00516035" w:rsidRDefault="00516035" w:rsidP="00CA7B23">
      <w:pPr>
        <w:pStyle w:val="Bullet1"/>
        <w:numPr>
          <w:ilvl w:val="0"/>
          <w:numId w:val="38"/>
        </w:numPr>
      </w:pPr>
      <w:r>
        <w:t>Children with deafblindness are 17 times less likely to be in school than non-disabled children, and twice less likely to be in school compared to children with other types of disabilities.</w:t>
      </w:r>
    </w:p>
    <w:p w:rsidR="00516035" w:rsidRDefault="00516035" w:rsidP="00CA7B23">
      <w:pPr>
        <w:pStyle w:val="Bullet1"/>
        <w:numPr>
          <w:ilvl w:val="0"/>
          <w:numId w:val="38"/>
        </w:numPr>
      </w:pPr>
      <w:r>
        <w:t>Between 20-75% of persons with deafblindness have additional impairments.</w:t>
      </w:r>
    </w:p>
    <w:p w:rsidR="00516035" w:rsidRDefault="00516035" w:rsidP="00CA7B23">
      <w:pPr>
        <w:pStyle w:val="Bullet1"/>
        <w:numPr>
          <w:ilvl w:val="0"/>
          <w:numId w:val="38"/>
        </w:numPr>
      </w:pPr>
      <w:r>
        <w:t>There is a high prevalence of depression amongst persons with deafblindness, but low access to mental health services.</w:t>
      </w:r>
    </w:p>
    <w:p w:rsidR="00516035" w:rsidRDefault="00516035" w:rsidP="00CA7B23">
      <w:pPr>
        <w:pStyle w:val="Bullet1"/>
        <w:numPr>
          <w:ilvl w:val="0"/>
          <w:numId w:val="38"/>
        </w:numPr>
      </w:pPr>
      <w:r>
        <w:t>Children with deafblindness are less likely to live with both parents.</w:t>
      </w:r>
    </w:p>
    <w:p w:rsidR="00516035" w:rsidRDefault="00516035" w:rsidP="00CA7B23">
      <w:pPr>
        <w:pStyle w:val="Bullet1"/>
        <w:numPr>
          <w:ilvl w:val="0"/>
          <w:numId w:val="38"/>
        </w:numPr>
      </w:pPr>
      <w:r>
        <w:t>Persons with deafblindness are less likely to be married.</w:t>
      </w:r>
    </w:p>
    <w:p w:rsidR="00516035" w:rsidRDefault="00516035" w:rsidP="00CA7B23">
      <w:pPr>
        <w:pStyle w:val="Bullet1"/>
        <w:numPr>
          <w:ilvl w:val="0"/>
          <w:numId w:val="38"/>
        </w:numPr>
      </w:pPr>
      <w:r>
        <w:t>Persons with deafblindness report a low quality of life and experience restrictions in participating in a wide-range of activities.</w:t>
      </w:r>
    </w:p>
    <w:p w:rsidR="00516035" w:rsidRDefault="00516035" w:rsidP="00516035">
      <w:pPr>
        <w:pStyle w:val="Bullet1"/>
        <w:numPr>
          <w:ilvl w:val="0"/>
          <w:numId w:val="0"/>
        </w:numPr>
      </w:pPr>
    </w:p>
    <w:p w:rsidR="001713A3" w:rsidRDefault="00516035" w:rsidP="00516035">
      <w:pPr>
        <w:pStyle w:val="Bullet1"/>
        <w:numPr>
          <w:ilvl w:val="0"/>
          <w:numId w:val="0"/>
        </w:numPr>
      </w:pPr>
      <w:r>
        <w:t>Case studies in the report provide insights into what is possible when persons with deafblindness are listened to, have access to health, education and training, and are supported to participate fully in the life of their community.</w:t>
      </w:r>
    </w:p>
    <w:p w:rsidR="00516035" w:rsidRDefault="00516035" w:rsidP="00516035">
      <w:pPr>
        <w:pStyle w:val="Heading2"/>
      </w:pPr>
      <w:r w:rsidRPr="00516035">
        <w:rPr>
          <w:color w:val="004F59"/>
        </w:rPr>
        <w:t>Recommendations</w:t>
      </w:r>
      <w:r>
        <w:t xml:space="preserve"> </w:t>
      </w:r>
    </w:p>
    <w:p w:rsidR="00516035" w:rsidRPr="00516035" w:rsidRDefault="00516035" w:rsidP="00BC3EE6">
      <w:r w:rsidRPr="00516035">
        <w:t>The evidence contained in the report confirms there is a disability and development gap. While the adoption of the SDGs in 2015 demonstrated a growing momentum for change based on inclusion, concerns remain that national development efforts will continue to exclude persons with deafblindness. Recommendations of the report are centred around seven key areas; pre-conditions for inclusion, social protection, education, health, work and employment, political participation and social participation. Below are the recommendations related to pre-conditions for inclusion:</w:t>
      </w:r>
    </w:p>
    <w:p w:rsidR="00CA7B23" w:rsidRDefault="00CA7B23" w:rsidP="00CA7B23">
      <w:pPr>
        <w:pStyle w:val="Bullet1"/>
        <w:numPr>
          <w:ilvl w:val="0"/>
          <w:numId w:val="39"/>
        </w:numPr>
      </w:pPr>
      <w:r w:rsidRPr="00CA7B23">
        <w:t xml:space="preserve">Universal and national recognition of deafblindness as a distinct </w:t>
      </w:r>
      <w:r>
        <w:t>disability in law and practice</w:t>
      </w:r>
    </w:p>
    <w:p w:rsidR="00CA7B23" w:rsidRDefault="00CA7B23" w:rsidP="00CA7B23">
      <w:pPr>
        <w:pStyle w:val="Bullet1"/>
        <w:numPr>
          <w:ilvl w:val="0"/>
          <w:numId w:val="39"/>
        </w:numPr>
      </w:pPr>
      <w:r w:rsidRPr="00CA7B23">
        <w:lastRenderedPageBreak/>
        <w:t>Development, in consultation with persons with deafblindness and their organisations, of</w:t>
      </w:r>
      <w:r w:rsidR="007D1C00">
        <w:t xml:space="preserve"> </w:t>
      </w:r>
      <w:r w:rsidRPr="00CA7B23">
        <w:t>support and deafblind interpretation services, in particular interpreter-guides, and</w:t>
      </w:r>
      <w:r w:rsidR="007D1C00">
        <w:t xml:space="preserve"> </w:t>
      </w:r>
      <w:r w:rsidRPr="00CA7B23">
        <w:t>adequate public funding to ensure support in educ</w:t>
      </w:r>
      <w:r>
        <w:t>ation, work and community life</w:t>
      </w:r>
    </w:p>
    <w:p w:rsidR="00CA7B23" w:rsidRDefault="00CA7B23" w:rsidP="00CA7B23">
      <w:pPr>
        <w:pStyle w:val="Bullet1"/>
        <w:numPr>
          <w:ilvl w:val="0"/>
          <w:numId w:val="39"/>
        </w:numPr>
      </w:pPr>
      <w:r w:rsidRPr="00CA7B23">
        <w:t>Ensure that organisations of persons with deafblindness are included in all consultation</w:t>
      </w:r>
      <w:r w:rsidR="007D1C00">
        <w:t xml:space="preserve"> </w:t>
      </w:r>
      <w:r>
        <w:t>with persons with disabilities</w:t>
      </w:r>
    </w:p>
    <w:p w:rsidR="00CA7B23" w:rsidRDefault="00CA7B23" w:rsidP="00CA7B23">
      <w:pPr>
        <w:pStyle w:val="Bullet1"/>
        <w:numPr>
          <w:ilvl w:val="0"/>
          <w:numId w:val="39"/>
        </w:numPr>
      </w:pPr>
      <w:r w:rsidRPr="00CA7B23">
        <w:t>Involve persons with deafblindness and their organisations in awareness raising and</w:t>
      </w:r>
      <w:r w:rsidR="007D1C00">
        <w:t xml:space="preserve"> </w:t>
      </w:r>
      <w:r w:rsidRPr="00CA7B23">
        <w:t>inclusion-related programmes, serving as role mo</w:t>
      </w:r>
      <w:r>
        <w:t>dels, mentors and peer support</w:t>
      </w:r>
    </w:p>
    <w:p w:rsidR="00CA7B23" w:rsidRDefault="00CA7B23" w:rsidP="00CA7B23">
      <w:pPr>
        <w:pStyle w:val="Bullet1"/>
        <w:numPr>
          <w:ilvl w:val="0"/>
          <w:numId w:val="39"/>
        </w:numPr>
      </w:pPr>
      <w:r w:rsidRPr="00CA7B23">
        <w:t>Adopt, in consultation with persons with deafblindness and their organisations, a</w:t>
      </w:r>
      <w:r w:rsidR="007D1C00">
        <w:t xml:space="preserve"> </w:t>
      </w:r>
      <w:r w:rsidRPr="00CA7B23">
        <w:t>consistent definition and measurement of deafblindness, and collect, disaggregate and</w:t>
      </w:r>
      <w:r w:rsidR="007D1C00">
        <w:t xml:space="preserve"> </w:t>
      </w:r>
      <w:r w:rsidRPr="00CA7B23">
        <w:t>analyse data, to assess and monitor the situation of persons with deafblindness, including</w:t>
      </w:r>
      <w:r w:rsidR="007D1C00">
        <w:t xml:space="preserve"> </w:t>
      </w:r>
      <w:r w:rsidRPr="00CA7B23">
        <w:t>through relevant analyses of national datasets using the Washi</w:t>
      </w:r>
      <w:r>
        <w:t>ngton Group Short Set</w:t>
      </w:r>
      <w:r w:rsidR="007D1C00">
        <w:t xml:space="preserve"> </w:t>
      </w:r>
      <w:r>
        <w:t>questions</w:t>
      </w:r>
    </w:p>
    <w:p w:rsidR="00497539" w:rsidRDefault="00CA7B23" w:rsidP="00CA7B23">
      <w:pPr>
        <w:pStyle w:val="Bullet1"/>
        <w:numPr>
          <w:ilvl w:val="0"/>
          <w:numId w:val="39"/>
        </w:numPr>
      </w:pPr>
      <w:r w:rsidRPr="00CA7B23">
        <w:t>Conduct additional research on the issues facing persons with deafblindness, including</w:t>
      </w:r>
      <w:r w:rsidR="007D1C00">
        <w:t xml:space="preserve"> </w:t>
      </w:r>
      <w:r w:rsidRPr="00CA7B23">
        <w:t>health status and access to healthcare, social participation and wellbeing, quality of work and</w:t>
      </w:r>
      <w:r w:rsidR="007D1C00">
        <w:t xml:space="preserve"> </w:t>
      </w:r>
      <w:r w:rsidRPr="00CA7B23">
        <w:t>education, causes, and age of onset. Undertake impact evaluations of interventions designed</w:t>
      </w:r>
      <w:r w:rsidR="007D1C00">
        <w:t xml:space="preserve"> </w:t>
      </w:r>
      <w:r w:rsidRPr="00CA7B23">
        <w:t>to improve inclusion.</w:t>
      </w:r>
      <w:r w:rsidR="007D1C00">
        <w:t xml:space="preserve">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00CA7B23" w:rsidRPr="00516035" w:rsidRDefault="00CA7B23" w:rsidP="00CA7B23">
      <w:pPr>
        <w:pStyle w:val="Heading2"/>
        <w:rPr>
          <w:color w:val="004F59"/>
        </w:rPr>
      </w:pPr>
      <w:r>
        <w:rPr>
          <w:color w:val="004F59"/>
        </w:rPr>
        <w:t>Report Methodology</w:t>
      </w:r>
    </w:p>
    <w:p w:rsidR="004C0DA4" w:rsidRDefault="00CA7B23" w:rsidP="004C0DA4">
      <w:r w:rsidRPr="00CA7B23">
        <w:t>Persons with deafblindness from across the world contributed to the report. The statistical research was led by a team from the London School of Hygiene and Tropical Medicine. The full report is based on prevalence estimates of deafblindness for 22 countries, in-depth analysis of 11 countries, an academic literature review, surveys and case studies. In total, over 97.6 million persons were included across the 22 datasets. This represents the largest population-based analysis of deafblindness conducted to date and includes evidence from a variety of regions and country income groups.</w:t>
      </w:r>
    </w:p>
    <w:p w:rsidR="00CA7B23" w:rsidRPr="00516035" w:rsidRDefault="007D1C00" w:rsidP="00CA7B23">
      <w:pPr>
        <w:pStyle w:val="Heading2"/>
        <w:rPr>
          <w:color w:val="004F59"/>
        </w:rPr>
      </w:pPr>
      <w:r>
        <w:rPr>
          <w:color w:val="004F59"/>
        </w:rPr>
        <w:t>Next ste</w:t>
      </w:r>
      <w:r w:rsidR="00CA7B23">
        <w:rPr>
          <w:color w:val="004F59"/>
        </w:rPr>
        <w:t>ps</w:t>
      </w:r>
    </w:p>
    <w:p w:rsidR="00CA7B23" w:rsidRDefault="00CA7B23" w:rsidP="004C0DA4">
      <w:r>
        <w:t>T</w:t>
      </w:r>
      <w:r w:rsidRPr="00CA7B23">
        <w:t>he WFDB, in coordination with Sense International, aims to publish follow up reports every four years until 2030, to monitor progress on realising the rights of persons with deafblindness according to both the CRPD and the SDGs.</w:t>
      </w:r>
    </w:p>
    <w:p w:rsidR="00CA7B23" w:rsidRDefault="00CA7B23" w:rsidP="00CA7B23">
      <w:pPr>
        <w:pStyle w:val="Heading2"/>
        <w:rPr>
          <w:color w:val="004F59"/>
        </w:rPr>
      </w:pPr>
    </w:p>
    <w:p w:rsidR="00CA7B23" w:rsidRPr="00CA7B23" w:rsidRDefault="00CA7B23" w:rsidP="00CA7B23">
      <w:pPr>
        <w:rPr>
          <w:lang w:eastAsia="en-US"/>
        </w:rPr>
      </w:pPr>
    </w:p>
    <w:p w:rsidR="00CA7B23" w:rsidRPr="000D5D39" w:rsidRDefault="00CA7B23" w:rsidP="004C0DA4"/>
    <w:sectPr w:rsidR="00CA7B23" w:rsidRPr="000D5D39" w:rsidSect="007759B2">
      <w:headerReference w:type="default" r:id="rId12"/>
      <w:footerReference w:type="default" r:id="rId13"/>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DEF" w:rsidRDefault="005C3DEF" w:rsidP="0000661D">
      <w:pPr>
        <w:spacing w:line="240" w:lineRule="auto"/>
      </w:pPr>
      <w:r>
        <w:separator/>
      </w:r>
    </w:p>
    <w:p w:rsidR="005C3DEF" w:rsidRDefault="005C3DEF"/>
  </w:endnote>
  <w:endnote w:type="continuationSeparator" w:id="0">
    <w:p w:rsidR="005C3DEF" w:rsidRDefault="005C3DEF" w:rsidP="0000661D">
      <w:pPr>
        <w:spacing w:line="240" w:lineRule="auto"/>
      </w:pPr>
      <w:r>
        <w:continuationSeparator/>
      </w:r>
    </w:p>
    <w:p w:rsidR="005C3DEF" w:rsidRDefault="005C3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ne)">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S Albert">
    <w:altName w:val="FS Alber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7759B2" w:rsidTr="00F60370">
      <w:trPr>
        <w:cantSplit/>
      </w:trPr>
      <w:tc>
        <w:tcPr>
          <w:tcW w:w="4819" w:type="dxa"/>
        </w:tcPr>
        <w:p w:rsidR="007759B2" w:rsidRDefault="007759B2" w:rsidP="007759B2">
          <w:pPr>
            <w:pStyle w:val="Footer"/>
            <w:tabs>
              <w:tab w:val="right" w:pos="9638"/>
            </w:tabs>
          </w:pPr>
          <w:r w:rsidRPr="00E83C7D">
            <w:fldChar w:fldCharType="begin"/>
          </w:r>
          <w:r w:rsidRPr="00E83C7D">
            <w:instrText xml:space="preserve"> IF </w:instrText>
          </w:r>
          <w:r>
            <w:instrText>"</w:instrText>
          </w:r>
          <w:r w:rsidR="00D22E9F">
            <w:fldChar w:fldCharType="begin"/>
          </w:r>
          <w:r w:rsidR="00D22E9F">
            <w:instrText xml:space="preserve"> STYLEREF  ~DocDate  </w:instrText>
          </w:r>
          <w:r w:rsidR="00D22E9F">
            <w:fldChar w:fldCharType="separate"/>
          </w:r>
          <w:r w:rsidR="005E79DC">
            <w:rPr>
              <w:b/>
              <w:bCs/>
              <w:noProof/>
              <w:lang w:val="en-US"/>
            </w:rPr>
            <w:instrText>Error! No text of specified style in document.</w:instrText>
          </w:r>
          <w:r w:rsidR="00D22E9F">
            <w:rPr>
              <w:noProof/>
            </w:rPr>
            <w:fldChar w:fldCharType="end"/>
          </w:r>
          <w:r>
            <w:rPr>
              <w:noProof/>
            </w:rPr>
            <w:instrText>"</w:instrText>
          </w:r>
          <w:r w:rsidRPr="00E83C7D">
            <w:instrText xml:space="preserve"> = "</w:instrText>
          </w:r>
          <w:r>
            <w:instrText>Error*</w:instrText>
          </w:r>
          <w:r w:rsidRPr="00E83C7D">
            <w:instrText>" "" "</w:instrText>
          </w:r>
          <w:fldSimple w:instr=" STYLEREF  ~DocDate  ">
            <w:r w:rsidR="00516035">
              <w:rPr>
                <w:noProof/>
              </w:rPr>
              <w:instrText>2018</w:instrText>
            </w:r>
          </w:fldSimple>
          <w:r w:rsidRPr="00E83C7D">
            <w:instrText xml:space="preserve">" </w:instrText>
          </w:r>
          <w:r w:rsidRPr="00E83C7D">
            <w:fldChar w:fldCharType="end"/>
          </w:r>
        </w:p>
      </w:tc>
      <w:tc>
        <w:tcPr>
          <w:tcW w:w="4819" w:type="dxa"/>
        </w:tcPr>
        <w:p w:rsidR="007759B2" w:rsidRDefault="007759B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5E79DC">
            <w:rPr>
              <w:b/>
              <w:noProof/>
            </w:rPr>
            <w:t>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5E79DC">
            <w:rPr>
              <w:b/>
              <w:noProof/>
            </w:rPr>
            <w:t>4</w:t>
          </w:r>
          <w:r w:rsidRPr="00222B70">
            <w:rPr>
              <w:b/>
              <w:noProof/>
            </w:rPr>
            <w:fldChar w:fldCharType="end"/>
          </w:r>
        </w:p>
      </w:tc>
    </w:tr>
  </w:tbl>
  <w:p w:rsidR="00102FCD" w:rsidRPr="007759B2" w:rsidRDefault="00102FCD" w:rsidP="007759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DEF" w:rsidRPr="00C214E1" w:rsidRDefault="005C3DEF" w:rsidP="00C214E1">
      <w:pPr>
        <w:pStyle w:val="NoSpacing"/>
        <w:rPr>
          <w:color w:val="888B8D" w:themeColor="text2"/>
        </w:rPr>
      </w:pPr>
      <w:r w:rsidRPr="00C214E1">
        <w:rPr>
          <w:color w:val="888B8D" w:themeColor="text2"/>
        </w:rPr>
        <w:separator/>
      </w:r>
    </w:p>
  </w:footnote>
  <w:footnote w:type="continuationSeparator" w:id="0">
    <w:p w:rsidR="005C3DEF" w:rsidRPr="00C214E1" w:rsidRDefault="005C3DEF" w:rsidP="00C214E1">
      <w:pPr>
        <w:pStyle w:val="NoSpacing"/>
        <w:rPr>
          <w:color w:val="888B8D" w:themeColor="text2"/>
        </w:rPr>
      </w:pPr>
      <w:r w:rsidRPr="00C214E1">
        <w:rPr>
          <w:color w:val="888B8D" w:themeColor="text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102FCD" w:rsidTr="002D6AEE">
      <w:trPr>
        <w:trHeight w:val="855"/>
      </w:trPr>
      <w:tc>
        <w:tcPr>
          <w:tcW w:w="8222" w:type="dxa"/>
          <w:vAlign w:val="bottom"/>
        </w:tcPr>
        <w:p w:rsidR="00102FCD" w:rsidRDefault="00102FCD" w:rsidP="006C162B">
          <w:pPr>
            <w:pStyle w:val="Header"/>
          </w:pPr>
          <w:r w:rsidRPr="00E83C7D">
            <w:fldChar w:fldCharType="begin"/>
          </w:r>
          <w:r w:rsidRPr="00E83C7D">
            <w:instrText xml:space="preserve"> IF </w:instrText>
          </w:r>
          <w:r>
            <w:instrText>"</w:instrText>
          </w:r>
          <w:r w:rsidR="00D22E9F">
            <w:fldChar w:fldCharType="begin"/>
          </w:r>
          <w:r w:rsidR="00D22E9F">
            <w:instrText xml:space="preserve"> STYLEREF  ~DocTitle  </w:instrText>
          </w:r>
          <w:r w:rsidR="00D22E9F">
            <w:rPr>
              <w:noProof/>
            </w:rPr>
            <w:fldChar w:fldCharType="end"/>
          </w:r>
          <w:r>
            <w:rPr>
              <w:noProof/>
            </w:rPr>
            <w:instrText>"</w:instrText>
          </w:r>
          <w:r w:rsidRPr="00E83C7D">
            <w:instrText xml:space="preserve"> = "</w:instrText>
          </w:r>
          <w:r>
            <w:instrText>Error*</w:instrText>
          </w:r>
          <w:r w:rsidRPr="00E83C7D">
            <w:instrText>" "" "</w:instrText>
          </w:r>
          <w:r w:rsidR="00D22E9F">
            <w:fldChar w:fldCharType="begin"/>
          </w:r>
          <w:r w:rsidR="00D22E9F">
            <w:instrText xml:space="preserve"> STYLEREF  ~DocTitle  </w:instrText>
          </w:r>
          <w:r w:rsidR="00D22E9F">
            <w:rPr>
              <w:noProof/>
            </w:rPr>
            <w:fldChar w:fldCharType="end"/>
          </w:r>
          <w:r w:rsidRPr="00E83C7D">
            <w:instrText xml:space="preserve">" </w:instrText>
          </w:r>
          <w:r w:rsidRPr="00E83C7D">
            <w:fldChar w:fldCharType="end"/>
          </w:r>
        </w:p>
      </w:tc>
      <w:tc>
        <w:tcPr>
          <w:tcW w:w="1416" w:type="dxa"/>
        </w:tcPr>
        <w:p w:rsidR="00102FCD" w:rsidRDefault="002D6AEE" w:rsidP="002D6AEE">
          <w:pPr>
            <w:pStyle w:val="NoSpacing"/>
            <w:jc w:val="center"/>
          </w:pPr>
          <w:r>
            <w:rPr>
              <w:noProof/>
              <w:lang w:eastAsia="en-GB"/>
            </w:rPr>
            <w:drawing>
              <wp:anchor distT="0" distB="0" distL="114300" distR="114300" simplePos="0" relativeHeight="251659264" behindDoc="0" locked="0" layoutInCell="1" allowOverlap="1" wp14:anchorId="40740E5E" wp14:editId="3F580577">
                <wp:simplePos x="0" y="0"/>
                <wp:positionH relativeFrom="column">
                  <wp:posOffset>249715</wp:posOffset>
                </wp:positionH>
                <wp:positionV relativeFrom="paragraph">
                  <wp:posOffset>39931</wp:posOffset>
                </wp:positionV>
                <wp:extent cx="613785" cy="320634"/>
                <wp:effectExtent l="0" t="0" r="0" b="3810"/>
                <wp:wrapNone/>
                <wp:docPr id="4" name="Picture 4" descr="C:\Users\ESchuetz\Downloads\SI-Logo-Teal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chuetz\Downloads\SI-Logo-Teal_(JPEG).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46154"/>
                        <a:stretch/>
                      </pic:blipFill>
                      <pic:spPr bwMode="auto">
                        <a:xfrm>
                          <a:off x="0" y="0"/>
                          <a:ext cx="614418" cy="320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102FCD" w:rsidRDefault="00102F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4232F"/>
    <w:multiLevelType w:val="multilevel"/>
    <w:tmpl w:val="02666544"/>
    <w:lvl w:ilvl="0">
      <w:start w:val="1"/>
      <w:numFmt w:val="bullet"/>
      <w:lvlText w:val=""/>
      <w:lvlJc w:val="left"/>
      <w:pPr>
        <w:tabs>
          <w:tab w:val="num" w:pos="340"/>
        </w:tabs>
        <w:ind w:left="340" w:hanging="340"/>
      </w:pPr>
      <w:rPr>
        <w:rFonts w:ascii="Symbol" w:hAnsi="Symbol" w:hint="default"/>
        <w:b/>
        <w:i w:val="0"/>
        <w:color w:val="004F59"/>
      </w:rPr>
    </w:lvl>
    <w:lvl w:ilvl="1">
      <w:numFmt w:val="bullet"/>
      <w:lvlText w:val="–"/>
      <w:lvlJc w:val="left"/>
      <w:pPr>
        <w:tabs>
          <w:tab w:val="num" w:pos="680"/>
        </w:tabs>
        <w:ind w:left="680" w:hanging="340"/>
      </w:pPr>
      <w:rPr>
        <w:rFonts w:hint="default"/>
        <w:b/>
        <w:i w:val="0"/>
        <w:color w:val="E57200" w:themeColor="accent2"/>
      </w:rPr>
    </w:lvl>
    <w:lvl w:ilvl="2">
      <w:numFmt w:val="bullet"/>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C88608B"/>
    <w:multiLevelType w:val="multilevel"/>
    <w:tmpl w:val="66A07322"/>
    <w:lvl w:ilvl="0">
      <w:start w:val="1"/>
      <w:numFmt w:val="decimal"/>
      <w:lvlText w:val="%1."/>
      <w:lvlJc w:val="left"/>
      <w:pPr>
        <w:tabs>
          <w:tab w:val="num" w:pos="340"/>
        </w:tabs>
        <w:ind w:left="340" w:hanging="340"/>
      </w:pPr>
      <w:rPr>
        <w:rFonts w:hint="default"/>
        <w:color w:val="E57200" w:themeColor="accent2"/>
      </w:rPr>
    </w:lvl>
    <w:lvl w:ilvl="1">
      <w:start w:val="1"/>
      <w:numFmt w:val="lowerLetter"/>
      <w:lvlText w:val="%2."/>
      <w:lvlJc w:val="left"/>
      <w:pPr>
        <w:tabs>
          <w:tab w:val="num" w:pos="680"/>
        </w:tabs>
        <w:ind w:left="680" w:hanging="340"/>
      </w:pPr>
      <w:rPr>
        <w:rFonts w:hint="default"/>
        <w:color w:val="E57200" w:themeColor="accent2"/>
      </w:rPr>
    </w:lvl>
    <w:lvl w:ilvl="2">
      <w:start w:val="1"/>
      <w:numFmt w:val="lowerRoman"/>
      <w:lvlText w:val="%3."/>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1F6F1253"/>
    <w:multiLevelType w:val="multilevel"/>
    <w:tmpl w:val="690EC148"/>
    <w:lvl w:ilvl="0">
      <w:start w:val="1"/>
      <w:numFmt w:val="bullet"/>
      <w:lvlText w:val=""/>
      <w:lvlJc w:val="left"/>
      <w:pPr>
        <w:tabs>
          <w:tab w:val="num" w:pos="340"/>
        </w:tabs>
        <w:ind w:left="340" w:hanging="340"/>
      </w:pPr>
      <w:rPr>
        <w:rFonts w:ascii="Symbol" w:hAnsi="Symbol" w:hint="default"/>
        <w:b/>
        <w:i w:val="0"/>
        <w:color w:val="004F59"/>
      </w:rPr>
    </w:lvl>
    <w:lvl w:ilvl="1">
      <w:numFmt w:val="bullet"/>
      <w:lvlText w:val="–"/>
      <w:lvlJc w:val="left"/>
      <w:pPr>
        <w:tabs>
          <w:tab w:val="num" w:pos="680"/>
        </w:tabs>
        <w:ind w:left="680" w:hanging="340"/>
      </w:pPr>
      <w:rPr>
        <w:rFonts w:hint="default"/>
        <w:b/>
        <w:i w:val="0"/>
        <w:color w:val="E57200" w:themeColor="accent2"/>
      </w:rPr>
    </w:lvl>
    <w:lvl w:ilvl="2">
      <w:numFmt w:val="bullet"/>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27D13B67"/>
    <w:multiLevelType w:val="multilevel"/>
    <w:tmpl w:val="0C52EEA2"/>
    <w:lvl w:ilvl="0">
      <w:start w:val="1"/>
      <w:numFmt w:val="none"/>
      <w:lvlRestart w:val="0"/>
      <w:isLgl/>
      <w:suff w:val="space"/>
      <w:lvlText w:val=""/>
      <w:lvlJc w:val="left"/>
      <w:pPr>
        <w:ind w:left="0" w:firstLine="0"/>
      </w:pPr>
      <w:rPr>
        <w:rFonts w:hint="default"/>
      </w:rPr>
    </w:lvl>
    <w:lvl w:ilvl="1">
      <w:start w:val="1"/>
      <w:numFmt w:val="decimal"/>
      <w:isLgl/>
      <w:suff w:val="space"/>
      <w:lvlText w:val="%1"/>
      <w:lvlJc w:val="left"/>
      <w:pPr>
        <w:ind w:left="0" w:firstLine="0"/>
      </w:pPr>
      <w:rPr>
        <w:rFonts w:hint="default"/>
      </w:rPr>
    </w:lvl>
    <w:lvl w:ilvl="2">
      <w:start w:val="1"/>
      <w:numFmt w:val="decimal"/>
      <w:isLgl/>
      <w:suff w:val="space"/>
      <w:lvlText w:val="%1"/>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4" w15:restartNumberingAfterBreak="0">
    <w:nsid w:val="280876C5"/>
    <w:multiLevelType w:val="multilevel"/>
    <w:tmpl w:val="FAF67472"/>
    <w:lvl w:ilvl="0">
      <w:start w:val="1"/>
      <w:numFmt w:val="decimal"/>
      <w:lvlRestart w:val="0"/>
      <w:isLgl/>
      <w:suff w:val="space"/>
      <w:lvlText w:val="%1.0"/>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5" w15:restartNumberingAfterBreak="0">
    <w:nsid w:val="2B587AE2"/>
    <w:multiLevelType w:val="multilevel"/>
    <w:tmpl w:val="E8D027B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303357B3"/>
    <w:multiLevelType w:val="multilevel"/>
    <w:tmpl w:val="4A66ACEE"/>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3FFB429C"/>
    <w:multiLevelType w:val="multilevel"/>
    <w:tmpl w:val="ED989C4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E57200" w:themeColor="accent2"/>
      </w:rPr>
    </w:lvl>
    <w:lvl w:ilvl="1">
      <w:numFmt w:val="bullet"/>
      <w:pStyle w:val="Bullet2"/>
      <w:lvlText w:val="–"/>
      <w:lvlJc w:val="left"/>
      <w:pPr>
        <w:tabs>
          <w:tab w:val="num" w:pos="680"/>
        </w:tabs>
        <w:ind w:left="680" w:hanging="340"/>
      </w:pPr>
      <w:rPr>
        <w:rFonts w:hint="default"/>
        <w:b/>
        <w:i w:val="0"/>
        <w:color w:val="E57200" w:themeColor="accent2"/>
      </w:rPr>
    </w:lvl>
    <w:lvl w:ilvl="2">
      <w:numFmt w:val="bullet"/>
      <w:pStyle w:val="Bullet3"/>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4CD24ED3"/>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0" w15:restartNumberingAfterBreak="0">
    <w:nsid w:val="4F8D22F0"/>
    <w:multiLevelType w:val="multilevel"/>
    <w:tmpl w:val="88BE848E"/>
    <w:lvl w:ilvl="0">
      <w:start w:val="1"/>
      <w:numFmt w:val="bullet"/>
      <w:lvlText w:val=""/>
      <w:lvlJc w:val="left"/>
      <w:pPr>
        <w:tabs>
          <w:tab w:val="num" w:pos="170"/>
        </w:tabs>
        <w:ind w:left="170" w:hanging="170"/>
      </w:pPr>
      <w:rPr>
        <w:rFonts w:ascii="Symbol" w:hAnsi="Symbol" w:hint="default"/>
      </w:rPr>
    </w:lvl>
    <w:lvl w:ilvl="1">
      <w:start w:val="1"/>
      <w:numFmt w:val="bullet"/>
      <w:lvlText w:val="–"/>
      <w:lvlJc w:val="left"/>
      <w:pPr>
        <w:tabs>
          <w:tab w:val="num" w:pos="340"/>
        </w:tabs>
        <w:ind w:left="340" w:hanging="170"/>
      </w:pPr>
      <w:rPr>
        <w:rFonts w:hint="default"/>
        <w:color w:val="653279" w:themeColor="accent1"/>
      </w:rPr>
    </w:lvl>
    <w:lvl w:ilvl="2">
      <w:start w:val="1"/>
      <w:numFmt w:val="bullet"/>
      <w:lvlText w:val="–"/>
      <w:lvlJc w:val="left"/>
      <w:pPr>
        <w:tabs>
          <w:tab w:val="num" w:pos="510"/>
        </w:tabs>
        <w:ind w:left="510" w:hanging="170"/>
      </w:pPr>
      <w:rPr>
        <w:rFonts w:hint="default"/>
        <w:color w:val="653279"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1"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3" w15:restartNumberingAfterBreak="0">
    <w:nsid w:val="5F3B2E54"/>
    <w:multiLevelType w:val="multilevel"/>
    <w:tmpl w:val="73C24F9A"/>
    <w:lvl w:ilvl="0">
      <w:numFmt w:val="bullet"/>
      <w:lvlText w:val=""/>
      <w:lvlJc w:val="left"/>
      <w:pPr>
        <w:tabs>
          <w:tab w:val="num" w:pos="340"/>
        </w:tabs>
        <w:ind w:left="340" w:hanging="340"/>
      </w:pPr>
      <w:rPr>
        <w:rFonts w:ascii="Symbol" w:hAnsi="Symbol" w:hint="default"/>
        <w:color w:val="E57200" w:themeColor="accent2"/>
      </w:rPr>
    </w:lvl>
    <w:lvl w:ilvl="1">
      <w:numFmt w:val="bullet"/>
      <w:lvlText w:val="–"/>
      <w:lvlJc w:val="left"/>
      <w:pPr>
        <w:tabs>
          <w:tab w:val="num" w:pos="680"/>
        </w:tabs>
        <w:ind w:left="680" w:hanging="340"/>
      </w:pPr>
      <w:rPr>
        <w:rFonts w:hint="default"/>
        <w:color w:val="E57200" w:themeColor="accent2"/>
      </w:rPr>
    </w:lvl>
    <w:lvl w:ilvl="2">
      <w:numFmt w:val="bullet"/>
      <w:lvlText w:val="–"/>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656F21B9"/>
    <w:multiLevelType w:val="multilevel"/>
    <w:tmpl w:val="EE8C0C26"/>
    <w:lvl w:ilvl="0">
      <w:start w:val="1"/>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6B975CB5"/>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6"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65327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102E64"/>
    <w:multiLevelType w:val="multilevel"/>
    <w:tmpl w:val="8F58A53C"/>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ﺳ"/>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E57200" w:themeColor="accent2"/>
      </w:rPr>
    </w:lvl>
    <w:lvl w:ilvl="1">
      <w:numFmt w:val="bullet"/>
      <w:pStyle w:val="TableBullet2"/>
      <w:lvlText w:val="–"/>
      <w:lvlJc w:val="left"/>
      <w:pPr>
        <w:tabs>
          <w:tab w:val="num" w:pos="454"/>
        </w:tabs>
        <w:ind w:left="454" w:hanging="227"/>
      </w:pPr>
      <w:rPr>
        <w:rFonts w:hint="default"/>
        <w:color w:val="E57200" w:themeColor="accent2"/>
      </w:rPr>
    </w:lvl>
    <w:lvl w:ilvl="2">
      <w:numFmt w:val="bullet"/>
      <w:pStyle w:val="TableBullet3"/>
      <w:lvlText w:val="–"/>
      <w:lvlJc w:val="left"/>
      <w:pPr>
        <w:tabs>
          <w:tab w:val="num" w:pos="680"/>
        </w:tabs>
        <w:ind w:left="680" w:hanging="226"/>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9"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E57200" w:themeColor="accent2"/>
      </w:rPr>
    </w:lvl>
    <w:lvl w:ilvl="1">
      <w:start w:val="1"/>
      <w:numFmt w:val="lowerLetter"/>
      <w:pStyle w:val="NumBullet2"/>
      <w:lvlText w:val="%2."/>
      <w:lvlJc w:val="left"/>
      <w:pPr>
        <w:tabs>
          <w:tab w:val="num" w:pos="680"/>
        </w:tabs>
        <w:ind w:left="680" w:hanging="340"/>
      </w:pPr>
      <w:rPr>
        <w:rFonts w:hint="default"/>
        <w:b/>
        <w:i w:val="0"/>
        <w:color w:val="E57200" w:themeColor="accent2"/>
      </w:rPr>
    </w:lvl>
    <w:lvl w:ilvl="2">
      <w:start w:val="1"/>
      <w:numFmt w:val="lowerRoman"/>
      <w:pStyle w:val="NumBullet3"/>
      <w:lvlText w:val="%3."/>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7ABC5280"/>
    <w:multiLevelType w:val="multilevel"/>
    <w:tmpl w:val="971EBDAC"/>
    <w:lvl w:ilvl="0">
      <w:start w:val="1"/>
      <w:numFmt w:val="upperLetter"/>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abstractNumId w:val="11"/>
  </w:num>
  <w:num w:numId="2">
    <w:abstractNumId w:val="11"/>
  </w:num>
  <w:num w:numId="3">
    <w:abstractNumId w:val="11"/>
  </w:num>
  <w:num w:numId="4">
    <w:abstractNumId w:val="8"/>
  </w:num>
  <w:num w:numId="5">
    <w:abstractNumId w:val="8"/>
  </w:num>
  <w:num w:numId="6">
    <w:abstractNumId w:val="8"/>
  </w:num>
  <w:num w:numId="7">
    <w:abstractNumId w:val="19"/>
  </w:num>
  <w:num w:numId="8">
    <w:abstractNumId w:val="19"/>
  </w:num>
  <w:num w:numId="9">
    <w:abstractNumId w:val="19"/>
  </w:num>
  <w:num w:numId="10">
    <w:abstractNumId w:val="18"/>
  </w:num>
  <w:num w:numId="11">
    <w:abstractNumId w:val="18"/>
  </w:num>
  <w:num w:numId="12">
    <w:abstractNumId w:val="18"/>
  </w:num>
  <w:num w:numId="13">
    <w:abstractNumId w:val="12"/>
  </w:num>
  <w:num w:numId="14">
    <w:abstractNumId w:val="12"/>
  </w:num>
  <w:num w:numId="15">
    <w:abstractNumId w:val="12"/>
  </w:num>
  <w:num w:numId="16">
    <w:abstractNumId w:val="12"/>
  </w:num>
  <w:num w:numId="17">
    <w:abstractNumId w:val="11"/>
  </w:num>
  <w:num w:numId="18">
    <w:abstractNumId w:val="8"/>
  </w:num>
  <w:num w:numId="19">
    <w:abstractNumId w:val="19"/>
  </w:num>
  <w:num w:numId="20">
    <w:abstractNumId w:val="18"/>
  </w:num>
  <w:num w:numId="21">
    <w:abstractNumId w:val="12"/>
  </w:num>
  <w:num w:numId="22">
    <w:abstractNumId w:val="5"/>
  </w:num>
  <w:num w:numId="23">
    <w:abstractNumId w:val="7"/>
  </w:num>
  <w:num w:numId="24">
    <w:abstractNumId w:val="10"/>
  </w:num>
  <w:num w:numId="25">
    <w:abstractNumId w:val="9"/>
  </w:num>
  <w:num w:numId="26">
    <w:abstractNumId w:val="15"/>
  </w:num>
  <w:num w:numId="27">
    <w:abstractNumId w:val="20"/>
  </w:num>
  <w:num w:numId="28">
    <w:abstractNumId w:val="4"/>
  </w:num>
  <w:num w:numId="29">
    <w:abstractNumId w:val="3"/>
  </w:num>
  <w:num w:numId="30">
    <w:abstractNumId w:val="13"/>
  </w:num>
  <w:num w:numId="31">
    <w:abstractNumId w:val="6"/>
  </w:num>
  <w:num w:numId="32">
    <w:abstractNumId w:val="17"/>
  </w:num>
  <w:num w:numId="33">
    <w:abstractNumId w:val="1"/>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4"/>
  </w:num>
  <w:num w:numId="38">
    <w:abstractNumId w:val="0"/>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yAmITcyMLM1MDAyUdpeDU4uLM/DyQAtNaAKNjjwcsAAAA"/>
  </w:docVars>
  <w:rsids>
    <w:rsidRoot w:val="00516035"/>
    <w:rsid w:val="0000018C"/>
    <w:rsid w:val="0000661D"/>
    <w:rsid w:val="00017C74"/>
    <w:rsid w:val="00022C5E"/>
    <w:rsid w:val="00045326"/>
    <w:rsid w:val="000464B7"/>
    <w:rsid w:val="0005711E"/>
    <w:rsid w:val="00092438"/>
    <w:rsid w:val="000D5D39"/>
    <w:rsid w:val="000D6FAA"/>
    <w:rsid w:val="000F399C"/>
    <w:rsid w:val="0010250E"/>
    <w:rsid w:val="00102FCD"/>
    <w:rsid w:val="0010618E"/>
    <w:rsid w:val="00107128"/>
    <w:rsid w:val="00112BD9"/>
    <w:rsid w:val="00113E7E"/>
    <w:rsid w:val="00121CDF"/>
    <w:rsid w:val="00126E05"/>
    <w:rsid w:val="00141BDA"/>
    <w:rsid w:val="001564AA"/>
    <w:rsid w:val="00156AE6"/>
    <w:rsid w:val="001713A3"/>
    <w:rsid w:val="00175D87"/>
    <w:rsid w:val="001B0F1D"/>
    <w:rsid w:val="001E55F4"/>
    <w:rsid w:val="00222B70"/>
    <w:rsid w:val="0023450E"/>
    <w:rsid w:val="002739B4"/>
    <w:rsid w:val="00286E2A"/>
    <w:rsid w:val="0029460D"/>
    <w:rsid w:val="002947CA"/>
    <w:rsid w:val="002D159D"/>
    <w:rsid w:val="002D60E9"/>
    <w:rsid w:val="002D6AEE"/>
    <w:rsid w:val="0033020D"/>
    <w:rsid w:val="003934D0"/>
    <w:rsid w:val="003978EF"/>
    <w:rsid w:val="003A4A8C"/>
    <w:rsid w:val="003C4B8E"/>
    <w:rsid w:val="00450480"/>
    <w:rsid w:val="0045530B"/>
    <w:rsid w:val="00467CE1"/>
    <w:rsid w:val="00497539"/>
    <w:rsid w:val="004C0DA4"/>
    <w:rsid w:val="004D3D29"/>
    <w:rsid w:val="004E75E2"/>
    <w:rsid w:val="00516035"/>
    <w:rsid w:val="0052762E"/>
    <w:rsid w:val="00541DDA"/>
    <w:rsid w:val="00551BEB"/>
    <w:rsid w:val="005C3DEF"/>
    <w:rsid w:val="005D2B70"/>
    <w:rsid w:val="005E54B4"/>
    <w:rsid w:val="005E79DC"/>
    <w:rsid w:val="005F1BEB"/>
    <w:rsid w:val="005F78AE"/>
    <w:rsid w:val="00622AEB"/>
    <w:rsid w:val="00622B1A"/>
    <w:rsid w:val="00637C33"/>
    <w:rsid w:val="00652FF1"/>
    <w:rsid w:val="00660129"/>
    <w:rsid w:val="00665100"/>
    <w:rsid w:val="0067345D"/>
    <w:rsid w:val="00673713"/>
    <w:rsid w:val="006822AC"/>
    <w:rsid w:val="0068492C"/>
    <w:rsid w:val="00693F1F"/>
    <w:rsid w:val="006A4014"/>
    <w:rsid w:val="006C162B"/>
    <w:rsid w:val="006E0CE5"/>
    <w:rsid w:val="006E3B92"/>
    <w:rsid w:val="006F2FC9"/>
    <w:rsid w:val="00717532"/>
    <w:rsid w:val="007240BF"/>
    <w:rsid w:val="00757C7B"/>
    <w:rsid w:val="007759B2"/>
    <w:rsid w:val="00776390"/>
    <w:rsid w:val="00786D2C"/>
    <w:rsid w:val="007A3E23"/>
    <w:rsid w:val="007D1C00"/>
    <w:rsid w:val="00807B35"/>
    <w:rsid w:val="00832871"/>
    <w:rsid w:val="00843227"/>
    <w:rsid w:val="0085483D"/>
    <w:rsid w:val="00865288"/>
    <w:rsid w:val="008730D3"/>
    <w:rsid w:val="00884DD7"/>
    <w:rsid w:val="008A5E55"/>
    <w:rsid w:val="008C2D66"/>
    <w:rsid w:val="008C75C0"/>
    <w:rsid w:val="00910DD3"/>
    <w:rsid w:val="0097303C"/>
    <w:rsid w:val="009B62BB"/>
    <w:rsid w:val="009E6F65"/>
    <w:rsid w:val="009E75B2"/>
    <w:rsid w:val="00A277BA"/>
    <w:rsid w:val="00A76320"/>
    <w:rsid w:val="00AA27C2"/>
    <w:rsid w:val="00AA651D"/>
    <w:rsid w:val="00AF40F9"/>
    <w:rsid w:val="00B05069"/>
    <w:rsid w:val="00B329CB"/>
    <w:rsid w:val="00B34F4D"/>
    <w:rsid w:val="00B67F83"/>
    <w:rsid w:val="00B831D3"/>
    <w:rsid w:val="00B86582"/>
    <w:rsid w:val="00B93CB7"/>
    <w:rsid w:val="00BA452E"/>
    <w:rsid w:val="00BC3EE6"/>
    <w:rsid w:val="00C15E9B"/>
    <w:rsid w:val="00C214E1"/>
    <w:rsid w:val="00C25C2B"/>
    <w:rsid w:val="00C51AEE"/>
    <w:rsid w:val="00C53DA0"/>
    <w:rsid w:val="00C772BF"/>
    <w:rsid w:val="00C96E12"/>
    <w:rsid w:val="00CA5ACF"/>
    <w:rsid w:val="00CA7B23"/>
    <w:rsid w:val="00CC700D"/>
    <w:rsid w:val="00CC73A0"/>
    <w:rsid w:val="00CD57FB"/>
    <w:rsid w:val="00D2294B"/>
    <w:rsid w:val="00D22E9F"/>
    <w:rsid w:val="00D233D6"/>
    <w:rsid w:val="00D36578"/>
    <w:rsid w:val="00D42310"/>
    <w:rsid w:val="00D648C2"/>
    <w:rsid w:val="00D67161"/>
    <w:rsid w:val="00D74275"/>
    <w:rsid w:val="00D754E4"/>
    <w:rsid w:val="00DF0C70"/>
    <w:rsid w:val="00E101A3"/>
    <w:rsid w:val="00E2374A"/>
    <w:rsid w:val="00E7697D"/>
    <w:rsid w:val="00E8667E"/>
    <w:rsid w:val="00EB04DB"/>
    <w:rsid w:val="00EB4A9D"/>
    <w:rsid w:val="00EC33E8"/>
    <w:rsid w:val="00ED213A"/>
    <w:rsid w:val="00ED55DB"/>
    <w:rsid w:val="00F009A8"/>
    <w:rsid w:val="00F265D6"/>
    <w:rsid w:val="00F37866"/>
    <w:rsid w:val="00F52D00"/>
    <w:rsid w:val="00F55C1D"/>
    <w:rsid w:val="00F7670E"/>
    <w:rsid w:val="00FB3306"/>
    <w:rsid w:val="00FC4B2C"/>
    <w:rsid w:val="00FE182B"/>
    <w:rsid w:val="00FE4B7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DEBDEFC-A630-45DC-A594-631F431DA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1">
    <w:lsdException w:name="Normal" w:uiPriority="3"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AA651D"/>
    <w:pPr>
      <w:spacing w:line="360" w:lineRule="auto"/>
    </w:pPr>
  </w:style>
  <w:style w:type="paragraph" w:styleId="Heading1">
    <w:name w:val="heading 1"/>
    <w:aliases w:val="~Heading 1"/>
    <w:basedOn w:val="SecHeadNonToc"/>
    <w:next w:val="Normal"/>
    <w:link w:val="Heading1Char"/>
    <w:uiPriority w:val="2"/>
    <w:qFormat/>
    <w:rsid w:val="00CC700D"/>
    <w:pPr>
      <w:pageBreakBefore w:val="0"/>
      <w:numPr>
        <w:numId w:val="21"/>
      </w:numPr>
      <w:spacing w:before="240"/>
      <w:outlineLvl w:val="0"/>
    </w:pPr>
    <w:rPr>
      <w:b/>
    </w:rPr>
  </w:style>
  <w:style w:type="paragraph" w:styleId="Heading2">
    <w:name w:val="heading 2"/>
    <w:aliases w:val="~Heading 2"/>
    <w:basedOn w:val="ExecSumSubHead"/>
    <w:next w:val="Normal"/>
    <w:link w:val="Heading2Char"/>
    <w:uiPriority w:val="2"/>
    <w:qFormat/>
    <w:rsid w:val="00AA651D"/>
    <w:pPr>
      <w:numPr>
        <w:ilvl w:val="1"/>
        <w:numId w:val="21"/>
      </w:numPr>
      <w:outlineLvl w:val="1"/>
    </w:pPr>
  </w:style>
  <w:style w:type="paragraph" w:styleId="Heading3">
    <w:name w:val="heading 3"/>
    <w:aliases w:val="~Heading 3"/>
    <w:basedOn w:val="ExecSumSubHead"/>
    <w:next w:val="Normal"/>
    <w:link w:val="Heading3Char"/>
    <w:uiPriority w:val="2"/>
    <w:qFormat/>
    <w:rsid w:val="007240BF"/>
    <w:pPr>
      <w:numPr>
        <w:ilvl w:val="2"/>
        <w:numId w:val="21"/>
      </w:numPr>
      <w:spacing w:after="0"/>
      <w:outlineLvl w:val="2"/>
    </w:pPr>
    <w:rPr>
      <w:b w:val="0"/>
      <w:color w:val="653279"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653279"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2"/>
    <w:rsid w:val="00CC700D"/>
    <w:rPr>
      <w:rFonts w:asciiTheme="majorHAnsi" w:eastAsiaTheme="minorHAnsi" w:hAnsiTheme="majorHAnsi" w:cs="Arial"/>
      <w:b/>
      <w:color w:val="653279"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E57200"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2"/>
    <w:rsid w:val="00AA651D"/>
    <w:rPr>
      <w:rFonts w:asciiTheme="majorHAnsi" w:eastAsiaTheme="minorHAnsi" w:hAnsiTheme="majorHAnsi" w:cs="Arial"/>
      <w:b/>
      <w:color w:val="E57200" w:themeColor="accent2"/>
      <w:sz w:val="32"/>
      <w:lang w:eastAsia="en-US"/>
    </w:rPr>
  </w:style>
  <w:style w:type="character" w:customStyle="1" w:styleId="Heading3Char">
    <w:name w:val="Heading 3 Char"/>
    <w:aliases w:val="~Heading 3 Char"/>
    <w:basedOn w:val="DefaultParagraphFont"/>
    <w:link w:val="Heading3"/>
    <w:uiPriority w:val="2"/>
    <w:rsid w:val="007240BF"/>
    <w:rPr>
      <w:rFonts w:asciiTheme="majorHAnsi" w:eastAsiaTheme="minorHAnsi" w:hAnsiTheme="majorHAnsi" w:cs="Arial"/>
      <w:color w:val="653279"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888B8D"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888B8D"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888B8D"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7"/>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7"/>
      </w:numPr>
      <w:outlineLvl w:val="2"/>
    </w:pPr>
    <w:rPr>
      <w:color w:val="888B8D" w:themeColor="text2"/>
      <w:sz w:val="24"/>
    </w:rPr>
  </w:style>
  <w:style w:type="paragraph" w:customStyle="1" w:styleId="AppSubHead">
    <w:name w:val="~AppSubHead"/>
    <w:basedOn w:val="SecHeadNonToc"/>
    <w:next w:val="Normal"/>
    <w:uiPriority w:val="8"/>
    <w:semiHidden/>
    <w:qFormat/>
    <w:rsid w:val="009E6F65"/>
    <w:pPr>
      <w:pageBreakBefore w:val="0"/>
      <w:numPr>
        <w:ilvl w:val="1"/>
        <w:numId w:val="17"/>
      </w:numPr>
      <w:outlineLvl w:val="1"/>
    </w:pPr>
    <w:rPr>
      <w:color w:val="888B8D"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18"/>
      </w:numPr>
      <w:spacing w:before="60" w:after="60"/>
    </w:pPr>
    <w:rPr>
      <w:rFonts w:eastAsia="Calibri"/>
    </w:rPr>
  </w:style>
  <w:style w:type="paragraph" w:customStyle="1" w:styleId="Bullet2">
    <w:name w:val="~Bullet2"/>
    <w:basedOn w:val="Normal"/>
    <w:rsid w:val="00CA5ACF"/>
    <w:pPr>
      <w:numPr>
        <w:ilvl w:val="1"/>
        <w:numId w:val="18"/>
      </w:numPr>
      <w:spacing w:before="60" w:after="60"/>
    </w:pPr>
  </w:style>
  <w:style w:type="paragraph" w:customStyle="1" w:styleId="Bullet3">
    <w:name w:val="~Bullet3"/>
    <w:basedOn w:val="Normal"/>
    <w:rsid w:val="00CA5ACF"/>
    <w:pPr>
      <w:numPr>
        <w:ilvl w:val="2"/>
        <w:numId w:val="18"/>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653279"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E57200"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19"/>
      </w:numPr>
      <w:spacing w:before="60" w:after="60"/>
    </w:pPr>
  </w:style>
  <w:style w:type="paragraph" w:customStyle="1" w:styleId="NumBullet2">
    <w:name w:val="~NumBullet2"/>
    <w:basedOn w:val="Normal"/>
    <w:rsid w:val="00CA5ACF"/>
    <w:pPr>
      <w:numPr>
        <w:ilvl w:val="1"/>
        <w:numId w:val="19"/>
      </w:numPr>
      <w:spacing w:before="60" w:after="60"/>
    </w:pPr>
  </w:style>
  <w:style w:type="paragraph" w:customStyle="1" w:styleId="NumBullet3">
    <w:name w:val="~NumBullet3"/>
    <w:basedOn w:val="Normal"/>
    <w:rsid w:val="00CA5ACF"/>
    <w:pPr>
      <w:numPr>
        <w:ilvl w:val="2"/>
        <w:numId w:val="19"/>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20"/>
      </w:numPr>
    </w:pPr>
    <w:rPr>
      <w:rFonts w:eastAsia="Calibri"/>
    </w:rPr>
  </w:style>
  <w:style w:type="paragraph" w:customStyle="1" w:styleId="TableBullet2">
    <w:name w:val="~TableBullet2"/>
    <w:basedOn w:val="TableTextLeft"/>
    <w:uiPriority w:val="31"/>
    <w:rsid w:val="00CA5ACF"/>
    <w:pPr>
      <w:numPr>
        <w:ilvl w:val="1"/>
        <w:numId w:val="20"/>
      </w:numPr>
    </w:pPr>
  </w:style>
  <w:style w:type="paragraph" w:customStyle="1" w:styleId="TableBullet3">
    <w:name w:val="~TableBullet3"/>
    <w:basedOn w:val="TableTextLeft"/>
    <w:uiPriority w:val="31"/>
    <w:rsid w:val="00CA5ACF"/>
    <w:pPr>
      <w:numPr>
        <w:ilvl w:val="2"/>
        <w:numId w:val="20"/>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color w:val="auto"/>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E57200"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E57200"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653279"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327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79" w:themeFill="accent1"/>
      </w:tcPr>
    </w:tblStylePr>
    <w:tblStylePr w:type="lastCol">
      <w:rPr>
        <w:b/>
        <w:bCs/>
        <w:color w:val="FFFFFF" w:themeColor="background1"/>
      </w:rPr>
      <w:tblPr/>
      <w:tcPr>
        <w:tcBorders>
          <w:left w:val="nil"/>
          <w:right w:val="nil"/>
          <w:insideH w:val="nil"/>
          <w:insideV w:val="nil"/>
        </w:tcBorders>
        <w:shd w:val="clear" w:color="auto" w:fill="65327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B62BB"/>
    <w:pPr>
      <w:spacing w:line="240" w:lineRule="auto"/>
    </w:pPr>
    <w:tblPr>
      <w:tblStyleRowBandSize w:val="1"/>
      <w:tblStyleColBandSize w:val="1"/>
      <w:tblBorders>
        <w:top w:val="single" w:sz="2" w:space="0" w:color="AB6EC3" w:themeColor="accent1" w:themeTint="99"/>
        <w:bottom w:val="single" w:sz="2" w:space="0" w:color="AB6EC3" w:themeColor="accent1" w:themeTint="99"/>
        <w:insideH w:val="single" w:sz="2" w:space="0" w:color="AB6EC3" w:themeColor="accent1" w:themeTint="99"/>
        <w:insideV w:val="single" w:sz="2" w:space="0" w:color="AB6EC3" w:themeColor="accent1" w:themeTint="99"/>
      </w:tblBorders>
    </w:tblPr>
    <w:tblStylePr w:type="firstRow">
      <w:rPr>
        <w:b/>
        <w:bCs/>
      </w:rPr>
      <w:tblPr/>
      <w:tcPr>
        <w:tcBorders>
          <w:top w:val="nil"/>
          <w:bottom w:val="single" w:sz="12" w:space="0" w:color="AB6EC3" w:themeColor="accent1" w:themeTint="99"/>
          <w:insideH w:val="nil"/>
          <w:insideV w:val="nil"/>
        </w:tcBorders>
        <w:shd w:val="clear" w:color="auto" w:fill="FFFFFF" w:themeFill="background1"/>
      </w:tcPr>
    </w:tblStylePr>
    <w:tblStylePr w:type="lastRow">
      <w:rPr>
        <w:b/>
        <w:bCs/>
      </w:rPr>
      <w:tblPr/>
      <w:tcPr>
        <w:tcBorders>
          <w:top w:val="double" w:sz="2" w:space="0" w:color="AB6E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CEEB" w:themeFill="accent1" w:themeFillTint="33"/>
      </w:tcPr>
    </w:tblStylePr>
    <w:tblStylePr w:type="band1Horz">
      <w:tblPr/>
      <w:tcPr>
        <w:shd w:val="clear" w:color="auto" w:fill="E3CEEB" w:themeFill="accent1" w:themeFillTint="33"/>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653279" w:themeColor="accent1"/>
        <w:left w:val="single" w:sz="2" w:space="0" w:color="653279" w:themeColor="accent1"/>
        <w:bottom w:val="single" w:sz="2" w:space="0" w:color="653279" w:themeColor="accent1"/>
        <w:right w:val="single" w:sz="2" w:space="0" w:color="653279" w:themeColor="accent1"/>
        <w:insideH w:val="single" w:sz="2" w:space="0" w:color="653279" w:themeColor="accent1"/>
        <w:insideV w:val="single" w:sz="2" w:space="0" w:color="653279" w:themeColor="accent1"/>
      </w:tblBorders>
    </w:tblPr>
    <w:tblStylePr w:type="firstRow">
      <w:rPr>
        <w:rFonts w:asciiTheme="majorHAnsi" w:hAnsiTheme="majorHAnsi"/>
        <w:b/>
        <w:color w:val="FFFFFF" w:themeColor="background1"/>
      </w:rPr>
      <w:tblPr/>
      <w:trPr>
        <w:tblHeader/>
      </w:trPr>
      <w:tcPr>
        <w:shd w:val="clear" w:color="auto" w:fill="653279" w:themeFill="accent1"/>
      </w:tcPr>
    </w:tblStylePr>
    <w:tblStylePr w:type="firstCol">
      <w:rPr>
        <w:rFonts w:asciiTheme="majorHAnsi" w:hAnsiTheme="majorHAnsi"/>
        <w:b/>
        <w:color w:val="E57200" w:themeColor="accent2"/>
      </w:rPr>
    </w:tblStylePr>
    <w:tblStylePr w:type="band1Horz">
      <w:tblPr/>
      <w:tcPr>
        <w:shd w:val="clear" w:color="auto" w:fill="E1E2E2" w:themeFill="background2"/>
      </w:tcPr>
    </w:tblStylePr>
  </w:style>
  <w:style w:type="paragraph" w:customStyle="1" w:styleId="KeyMessageBoxBullet">
    <w:name w:val="~KeyMessageBoxBullet"/>
    <w:basedOn w:val="Normal"/>
    <w:uiPriority w:val="32"/>
    <w:semiHidden/>
    <w:rsid w:val="00D754E4"/>
    <w:pPr>
      <w:keepNext/>
      <w:numPr>
        <w:numId w:val="36"/>
      </w:numPr>
      <w:spacing w:before="120" w:after="120" w:line="240" w:lineRule="auto"/>
      <w:ind w:left="431" w:hanging="431"/>
      <w:contextualSpacing/>
      <w:jc w:val="both"/>
    </w:pPr>
    <w:rPr>
      <w:rFonts w:eastAsiaTheme="minorHAnsi" w:cs="Arial"/>
      <w:szCs w:val="22"/>
      <w:lang w:eastAsia="en-US"/>
    </w:rPr>
  </w:style>
  <w:style w:type="paragraph" w:customStyle="1" w:styleId="KeyMsg1">
    <w:name w:val="~KeyMsg1"/>
    <w:basedOn w:val="KeyMsgBoxText"/>
    <w:next w:val="Normal"/>
    <w:uiPriority w:val="32"/>
    <w:qFormat/>
    <w:rsid w:val="00F52D00"/>
    <w:rPr>
      <w:color w:val="653279" w:themeColor="accent1"/>
    </w:rPr>
  </w:style>
  <w:style w:type="paragraph" w:customStyle="1" w:styleId="KeyMsg2">
    <w:name w:val="~KeyMsg2"/>
    <w:basedOn w:val="KeyMsg1"/>
    <w:next w:val="Normal"/>
    <w:uiPriority w:val="32"/>
    <w:qFormat/>
    <w:rsid w:val="00F52D00"/>
    <w:rPr>
      <w:color w:val="E57200" w:themeColor="accent2"/>
    </w:rPr>
  </w:style>
  <w:style w:type="paragraph" w:customStyle="1" w:styleId="Default">
    <w:name w:val="Default"/>
    <w:rsid w:val="00516035"/>
    <w:pPr>
      <w:autoSpaceDE w:val="0"/>
      <w:autoSpaceDN w:val="0"/>
      <w:adjustRightInd w:val="0"/>
      <w:spacing w:before="0" w:line="240" w:lineRule="auto"/>
    </w:pPr>
    <w:rPr>
      <w:rFonts w:ascii="FS Albert" w:hAnsi="FS Albert" w:cs="FS Alber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chuetz\Downloads\Sense_Generic_Word_Template_-_without_instructions%20(2).dotx" TargetMode="External"/></Relationships>
</file>

<file path=word/theme/theme1.xml><?xml version="1.0" encoding="utf-8"?>
<a:theme xmlns:a="http://schemas.openxmlformats.org/drawingml/2006/main" name="Office Theme">
  <a:themeElements>
    <a:clrScheme name="Sense">
      <a:dk1>
        <a:sysClr val="windowText" lastClr="000000"/>
      </a:dk1>
      <a:lt1>
        <a:sysClr val="window" lastClr="FFFFFF"/>
      </a:lt1>
      <a:dk2>
        <a:srgbClr val="888B8D"/>
      </a:dk2>
      <a:lt2>
        <a:srgbClr val="E1E2E2"/>
      </a:lt2>
      <a:accent1>
        <a:srgbClr val="653279"/>
      </a:accent1>
      <a:accent2>
        <a:srgbClr val="E57200"/>
      </a:accent2>
      <a:accent3>
        <a:srgbClr val="B298BC"/>
      </a:accent3>
      <a:accent4>
        <a:srgbClr val="F2B87F"/>
      </a:accent4>
      <a:accent5>
        <a:srgbClr val="D8CCDD"/>
      </a:accent5>
      <a:accent6>
        <a:srgbClr val="F8DCBF"/>
      </a:accent6>
      <a:hlink>
        <a:srgbClr val="653279"/>
      </a:hlink>
      <a:folHlink>
        <a:srgbClr val="E57200"/>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CFA08-4EF5-4254-9E14-4B614BAB4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Sense_Generic_Word_Template_-_without_instructions (2)</Template>
  <TotalTime>0</TotalTime>
  <Pages>4</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creator>Elisabeth Schuetz</dc:creator>
  <cp:lastModifiedBy>Isabel Steele</cp:lastModifiedBy>
  <cp:revision>2</cp:revision>
  <cp:lastPrinted>2018-11-15T14:52:00Z</cp:lastPrinted>
  <dcterms:created xsi:type="dcterms:W3CDTF">2021-04-19T10:28:00Z</dcterms:created>
  <dcterms:modified xsi:type="dcterms:W3CDTF">2021-04-19T10:28:00Z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ies>
</file>